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2" w:rsidRDefault="000661D2" w:rsidP="000661D2">
      <w:pPr>
        <w:jc w:val="center"/>
        <w:rPr>
          <w:sz w:val="28"/>
        </w:rPr>
      </w:pPr>
      <w:r>
        <w:rPr>
          <w:sz w:val="28"/>
        </w:rPr>
        <w:t>ПОДПРОГРАММА   «РАЗВИТИЕ МУНИЦИПАЛЬНОЙ СЛУЖБЫ В  АЛЕКСАНДРОВСКОМ СЕЛЬСКОМ ПОСЕЛЕНИИ»</w:t>
      </w:r>
    </w:p>
    <w:p w:rsidR="000661D2" w:rsidRDefault="000661D2" w:rsidP="000661D2">
      <w:pPr>
        <w:jc w:val="center"/>
        <w:rPr>
          <w:sz w:val="28"/>
        </w:rPr>
      </w:pPr>
    </w:p>
    <w:p w:rsidR="000661D2" w:rsidRDefault="000661D2" w:rsidP="000661D2">
      <w:pPr>
        <w:ind w:right="284"/>
        <w:jc w:val="center"/>
        <w:rPr>
          <w:sz w:val="28"/>
        </w:rPr>
      </w:pPr>
      <w:r>
        <w:rPr>
          <w:sz w:val="28"/>
        </w:rPr>
        <w:t>Паспорт Подпрограммы</w:t>
      </w:r>
    </w:p>
    <w:p w:rsidR="000661D2" w:rsidRDefault="000661D2" w:rsidP="000661D2">
      <w:pPr>
        <w:rPr>
          <w:sz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0"/>
        <w:gridCol w:w="243"/>
        <w:gridCol w:w="5529"/>
      </w:tblGrid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 w:rsidP="000661D2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«Развитие муниципальной службы в Александровском сельском поселении</w:t>
            </w:r>
            <w:r w:rsidR="00EC0FCC">
              <w:rPr>
                <w:sz w:val="28"/>
              </w:rPr>
              <w:t>»</w:t>
            </w:r>
            <w:r>
              <w:rPr>
                <w:sz w:val="28"/>
              </w:rPr>
              <w:t xml:space="preserve">  (далее – Подпрограмма </w:t>
            </w:r>
            <w:proofErr w:type="gramEnd"/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624456" w:rsidRDefault="00624456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Александровского сельского поселения</w:t>
            </w:r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rPr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rPr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rPr>
          <w:trHeight w:val="19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624456" w:rsidP="0062445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Основная</w:t>
            </w:r>
            <w:proofErr w:type="gramEnd"/>
            <w:r>
              <w:rPr>
                <w:sz w:val="28"/>
              </w:rPr>
              <w:t xml:space="preserve"> цели и задачи подпрограммы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организации муниципальной службы в </w:t>
            </w:r>
            <w:r w:rsidR="00624456">
              <w:rPr>
                <w:sz w:val="28"/>
              </w:rPr>
              <w:t xml:space="preserve"> Александровском с</w:t>
            </w:r>
            <w:r>
              <w:rPr>
                <w:sz w:val="28"/>
              </w:rPr>
              <w:t>ельском поселении  повышение эффективности исполнения муниципальными служащими своих должностных обязанностей</w:t>
            </w:r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rPr>
          <w:trHeight w:val="19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 w:rsidP="00624456">
            <w:pPr>
              <w:jc w:val="center"/>
              <w:rPr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правовой основы муниципальной службы;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оптимизация штатной численности муниципальных служащих;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престижа муниципальной службы;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0661D2" w:rsidRDefault="000661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создание системы контроля деятельности  муниципальных служащих со стороны институтов гражданского общества, </w:t>
            </w:r>
            <w:r>
              <w:rPr>
                <w:sz w:val="28"/>
                <w:szCs w:val="28"/>
              </w:rPr>
              <w:t>повышение уровня открытости и гласности муниципальной службы</w:t>
            </w:r>
          </w:p>
          <w:p w:rsidR="000661D2" w:rsidRDefault="000661D2" w:rsidP="000661D2">
            <w:pPr>
              <w:jc w:val="right"/>
              <w:rPr>
                <w:sz w:val="28"/>
              </w:rPr>
            </w:pPr>
          </w:p>
        </w:tc>
      </w:tr>
      <w:tr w:rsidR="000661D2" w:rsidTr="00162AF9">
        <w:trPr>
          <w:trHeight w:val="19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  <w:p w:rsidR="000661D2" w:rsidRDefault="00624456">
            <w:pPr>
              <w:rPr>
                <w:sz w:val="28"/>
              </w:rPr>
            </w:pPr>
            <w:r>
              <w:rPr>
                <w:sz w:val="28"/>
              </w:rPr>
              <w:t>подп</w:t>
            </w:r>
            <w:r w:rsidR="000661D2">
              <w:rPr>
                <w:sz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62445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– 2020</w:t>
            </w:r>
            <w:r w:rsidR="000661D2">
              <w:rPr>
                <w:sz w:val="28"/>
              </w:rPr>
              <w:t xml:space="preserve"> годы</w:t>
            </w:r>
          </w:p>
          <w:p w:rsidR="000661D2" w:rsidRDefault="000661D2">
            <w:pPr>
              <w:jc w:val="both"/>
              <w:rPr>
                <w:sz w:val="28"/>
              </w:rPr>
            </w:pPr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rPr>
          <w:trHeight w:val="19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 w:rsidP="00624456">
            <w:pPr>
              <w:rPr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rPr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  <w:r w:rsidR="00005C68">
              <w:rPr>
                <w:sz w:val="28"/>
              </w:rPr>
              <w:t xml:space="preserve"> Александровского </w:t>
            </w:r>
            <w:r>
              <w:rPr>
                <w:sz w:val="28"/>
              </w:rPr>
              <w:t>сельского поселения: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всего – </w:t>
            </w:r>
            <w:r w:rsidR="00005C68">
              <w:rPr>
                <w:sz w:val="28"/>
              </w:rPr>
              <w:t>14,0</w:t>
            </w:r>
            <w:r>
              <w:rPr>
                <w:sz w:val="28"/>
              </w:rPr>
              <w:t xml:space="preserve"> тыс. рублей, в том числе: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год –</w:t>
            </w:r>
            <w:r w:rsidR="00005C68">
              <w:rPr>
                <w:sz w:val="28"/>
              </w:rPr>
              <w:t xml:space="preserve">  2,0</w:t>
            </w:r>
            <w:r>
              <w:rPr>
                <w:sz w:val="28"/>
              </w:rPr>
              <w:t>тыс. рублей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год –  2,0  тыс. рублей;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год –  2,0  тыс. рублей;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год –  2,0  тыс. рублей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 –  2,0  тыс. рублей;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год –  2,0  тыс. рублей;</w:t>
            </w:r>
          </w:p>
          <w:p w:rsidR="0048564F" w:rsidRDefault="0048564F" w:rsidP="0048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год –  2,0  тыс. рублей</w:t>
            </w:r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конечные </w:t>
            </w:r>
          </w:p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>результаты реализации П</w:t>
            </w:r>
            <w:r w:rsidR="0048564F">
              <w:rPr>
                <w:sz w:val="28"/>
              </w:rPr>
              <w:t>одп</w:t>
            </w:r>
            <w:r>
              <w:rPr>
                <w:sz w:val="28"/>
              </w:rPr>
              <w:t xml:space="preserve">рограммы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индекс доверия граждан к муници</w:t>
            </w:r>
            <w:r w:rsidR="00005C68">
              <w:rPr>
                <w:sz w:val="28"/>
              </w:rPr>
              <w:t>пальным служащим увеличится на 20</w:t>
            </w:r>
            <w:r w:rsidR="004C09E4">
              <w:rPr>
                <w:sz w:val="28"/>
              </w:rPr>
              <w:t xml:space="preserve"> процентов</w:t>
            </w:r>
            <w:r>
              <w:rPr>
                <w:sz w:val="28"/>
              </w:rPr>
              <w:t xml:space="preserve">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муниципальных служащих, должностные инструкции которых содержат показатели результативности, составит 100 процентов;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вакантных должностей муниципальной службы, замещаемых на основе назначения из ка</w:t>
            </w:r>
            <w:r w:rsidR="00C860DF">
              <w:rPr>
                <w:sz w:val="28"/>
              </w:rPr>
              <w:t>дрового резерва, увеличится на 30</w:t>
            </w:r>
            <w:r>
              <w:rPr>
                <w:sz w:val="28"/>
              </w:rPr>
              <w:t xml:space="preserve"> процентов;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вакантных должностей муниципальной службы, замещаемых на основе конкурса, увеличится на 30 процентов;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специалистов в возрасте до 3</w:t>
            </w:r>
            <w:r w:rsidR="00005C68">
              <w:rPr>
                <w:sz w:val="28"/>
              </w:rPr>
              <w:t>5</w:t>
            </w:r>
            <w:r>
              <w:rPr>
                <w:sz w:val="28"/>
              </w:rPr>
              <w:t xml:space="preserve"> лет, имеющих стаж муниципальной службы более 3 лет, увеличится на </w:t>
            </w:r>
            <w:r w:rsidR="00005C68">
              <w:rPr>
                <w:sz w:val="28"/>
              </w:rPr>
              <w:t>20</w:t>
            </w:r>
            <w:r>
              <w:rPr>
                <w:sz w:val="28"/>
              </w:rPr>
              <w:t xml:space="preserve"> процентов; </w:t>
            </w:r>
          </w:p>
          <w:p w:rsidR="000661D2" w:rsidRDefault="00066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муниципальных служащих, уволившихся с муниципальной службы до достижения ими предельного возраста пребывания на муниц</w:t>
            </w:r>
            <w:r w:rsidR="0048564F">
              <w:rPr>
                <w:sz w:val="28"/>
              </w:rPr>
              <w:t>ипальной службе, уменьшится на 30</w:t>
            </w:r>
            <w:r>
              <w:rPr>
                <w:sz w:val="28"/>
              </w:rPr>
              <w:t xml:space="preserve"> процентов</w:t>
            </w:r>
          </w:p>
          <w:p w:rsidR="000661D2" w:rsidRDefault="000661D2">
            <w:pPr>
              <w:jc w:val="both"/>
              <w:rPr>
                <w:sz w:val="28"/>
              </w:rPr>
            </w:pPr>
          </w:p>
        </w:tc>
      </w:tr>
      <w:tr w:rsidR="000661D2" w:rsidTr="00162AF9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rPr>
                <w:sz w:val="28"/>
              </w:rPr>
            </w:pPr>
            <w:r>
              <w:rPr>
                <w:sz w:val="28"/>
              </w:rPr>
              <w:t xml:space="preserve">Система организации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61D2" w:rsidRDefault="000661D2" w:rsidP="0048564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Программы осуществляет администрация </w:t>
            </w:r>
            <w:r w:rsidR="0048564F">
              <w:rPr>
                <w:sz w:val="28"/>
              </w:rPr>
              <w:t xml:space="preserve">Александровского </w:t>
            </w:r>
            <w:r>
              <w:rPr>
                <w:sz w:val="28"/>
              </w:rPr>
              <w:t xml:space="preserve">сельского поселения </w:t>
            </w:r>
          </w:p>
        </w:tc>
      </w:tr>
    </w:tbl>
    <w:p w:rsidR="000661D2" w:rsidRDefault="000661D2" w:rsidP="000661D2">
      <w:pPr>
        <w:rPr>
          <w:sz w:val="28"/>
        </w:rPr>
      </w:pPr>
    </w:p>
    <w:p w:rsidR="00635CD7" w:rsidRPr="00635CD7" w:rsidRDefault="00635CD7" w:rsidP="00635CD7">
      <w:pPr>
        <w:pStyle w:val="TableContents"/>
        <w:jc w:val="center"/>
        <w:rPr>
          <w:sz w:val="28"/>
          <w:szCs w:val="28"/>
          <w:lang w:val="ru-RU"/>
        </w:rPr>
      </w:pPr>
      <w:r w:rsidRPr="00635CD7">
        <w:rPr>
          <w:sz w:val="28"/>
          <w:szCs w:val="28"/>
        </w:rPr>
        <w:t>1</w:t>
      </w:r>
      <w:r w:rsidRPr="00635CD7">
        <w:rPr>
          <w:b/>
          <w:sz w:val="28"/>
          <w:szCs w:val="28"/>
        </w:rPr>
        <w:t xml:space="preserve">. </w:t>
      </w:r>
      <w:proofErr w:type="spellStart"/>
      <w:r w:rsidRPr="00635CD7">
        <w:rPr>
          <w:b/>
          <w:sz w:val="28"/>
          <w:szCs w:val="28"/>
        </w:rPr>
        <w:t>Комплекс</w:t>
      </w:r>
      <w:proofErr w:type="spellEnd"/>
      <w:r w:rsidR="00EC0FCC">
        <w:rPr>
          <w:b/>
          <w:sz w:val="28"/>
          <w:szCs w:val="28"/>
          <w:lang w:val="ru-RU"/>
        </w:rPr>
        <w:t xml:space="preserve"> </w:t>
      </w:r>
      <w:proofErr w:type="spellStart"/>
      <w:r w:rsidRPr="00635CD7">
        <w:rPr>
          <w:b/>
          <w:sz w:val="28"/>
          <w:szCs w:val="28"/>
        </w:rPr>
        <w:t>мероприятий</w:t>
      </w:r>
      <w:proofErr w:type="spellEnd"/>
      <w:r w:rsidR="00EC0FCC">
        <w:rPr>
          <w:b/>
          <w:sz w:val="28"/>
          <w:szCs w:val="28"/>
          <w:lang w:val="ru-RU"/>
        </w:rPr>
        <w:t xml:space="preserve"> </w:t>
      </w:r>
      <w:proofErr w:type="spellStart"/>
      <w:r w:rsidRPr="00635CD7">
        <w:rPr>
          <w:b/>
          <w:sz w:val="28"/>
          <w:szCs w:val="28"/>
        </w:rPr>
        <w:t>по</w:t>
      </w:r>
      <w:proofErr w:type="spellEnd"/>
      <w:r w:rsidR="00EC0FCC">
        <w:rPr>
          <w:b/>
          <w:sz w:val="28"/>
          <w:szCs w:val="28"/>
          <w:lang w:val="ru-RU"/>
        </w:rPr>
        <w:t xml:space="preserve"> </w:t>
      </w:r>
      <w:proofErr w:type="spellStart"/>
      <w:r w:rsidRPr="00635CD7">
        <w:rPr>
          <w:b/>
          <w:sz w:val="28"/>
          <w:szCs w:val="28"/>
        </w:rPr>
        <w:t>развитиюмуниципальной</w:t>
      </w:r>
      <w:proofErr w:type="spellEnd"/>
      <w:r w:rsidR="00EC0FCC">
        <w:rPr>
          <w:b/>
          <w:sz w:val="28"/>
          <w:szCs w:val="28"/>
          <w:lang w:val="ru-RU"/>
        </w:rPr>
        <w:t xml:space="preserve"> </w:t>
      </w:r>
      <w:proofErr w:type="spellStart"/>
      <w:r w:rsidRPr="00635CD7">
        <w:rPr>
          <w:b/>
          <w:sz w:val="28"/>
          <w:szCs w:val="28"/>
        </w:rPr>
        <w:t>службы</w:t>
      </w:r>
      <w:proofErr w:type="spellEnd"/>
      <w:r w:rsidRPr="00635CD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Александровском сельском поселении</w:t>
      </w:r>
    </w:p>
    <w:p w:rsidR="00635CD7" w:rsidRPr="00635CD7" w:rsidRDefault="00635CD7" w:rsidP="00635CD7">
      <w:pPr>
        <w:pStyle w:val="TableContents"/>
        <w:jc w:val="center"/>
        <w:rPr>
          <w:sz w:val="28"/>
          <w:szCs w:val="28"/>
        </w:rPr>
      </w:pPr>
    </w:p>
    <w:p w:rsidR="00635CD7" w:rsidRPr="00635CD7" w:rsidRDefault="00635CD7" w:rsidP="00635CD7">
      <w:pPr>
        <w:pStyle w:val="TableContents"/>
        <w:rPr>
          <w:sz w:val="28"/>
          <w:szCs w:val="28"/>
        </w:rPr>
      </w:pPr>
      <w:r w:rsidRPr="00635CD7">
        <w:rPr>
          <w:sz w:val="28"/>
          <w:szCs w:val="28"/>
        </w:rPr>
        <w:t xml:space="preserve">           1.1.     </w:t>
      </w:r>
      <w:proofErr w:type="spellStart"/>
      <w:r w:rsidRPr="00635CD7">
        <w:rPr>
          <w:sz w:val="28"/>
          <w:szCs w:val="28"/>
        </w:rPr>
        <w:t>Оптимизация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структуры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аппарата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администрации</w:t>
      </w:r>
      <w:proofErr w:type="spellEnd"/>
      <w:r w:rsidRPr="00635CD7">
        <w:rPr>
          <w:sz w:val="28"/>
          <w:szCs w:val="28"/>
        </w:rPr>
        <w:t>:</w:t>
      </w:r>
    </w:p>
    <w:p w:rsidR="00635CD7" w:rsidRPr="00635CD7" w:rsidRDefault="00635CD7" w:rsidP="00162AF9">
      <w:pPr>
        <w:pStyle w:val="TableContents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 1.1.1. </w:t>
      </w:r>
      <w:proofErr w:type="spellStart"/>
      <w:r w:rsidRPr="00635CD7">
        <w:rPr>
          <w:sz w:val="28"/>
          <w:szCs w:val="28"/>
        </w:rPr>
        <w:t>Постоянное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совершенствование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приведение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соответствие</w:t>
      </w:r>
      <w:proofErr w:type="spellEnd"/>
      <w:r w:rsidRPr="00635CD7">
        <w:rPr>
          <w:sz w:val="28"/>
          <w:szCs w:val="28"/>
        </w:rPr>
        <w:t xml:space="preserve"> с </w:t>
      </w:r>
      <w:proofErr w:type="spellStart"/>
      <w:r w:rsidRPr="00635CD7">
        <w:rPr>
          <w:sz w:val="28"/>
          <w:szCs w:val="28"/>
        </w:rPr>
        <w:lastRenderedPageBreak/>
        <w:t>действующим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законодательством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положений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об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управлениях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отделах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должностных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инструкций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регламентирующих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деятельность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муниципальных</w:t>
      </w:r>
      <w:proofErr w:type="spellEnd"/>
      <w:r w:rsidR="00EC0FCC">
        <w:rPr>
          <w:sz w:val="28"/>
          <w:szCs w:val="28"/>
          <w:lang w:val="ru-RU"/>
        </w:rPr>
        <w:t xml:space="preserve"> </w:t>
      </w:r>
      <w:proofErr w:type="spellStart"/>
      <w:r w:rsidRPr="00635CD7">
        <w:rPr>
          <w:sz w:val="28"/>
          <w:szCs w:val="28"/>
        </w:rPr>
        <w:t>служащих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1.2. В </w:t>
      </w:r>
      <w:proofErr w:type="spellStart"/>
      <w:r w:rsidRPr="00635CD7">
        <w:rPr>
          <w:sz w:val="28"/>
          <w:szCs w:val="28"/>
        </w:rPr>
        <w:t>сроки</w:t>
      </w:r>
      <w:proofErr w:type="spellEnd"/>
      <w:r w:rsidRPr="00635CD7">
        <w:rPr>
          <w:sz w:val="28"/>
          <w:szCs w:val="28"/>
        </w:rPr>
        <w:t>, установленныедействующимзаконодательствомпроводитьквалификационныйэкзаменмуниципальныхслужащих.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1.3. </w:t>
      </w:r>
      <w:proofErr w:type="spellStart"/>
      <w:r w:rsidRPr="00635CD7">
        <w:rPr>
          <w:sz w:val="28"/>
          <w:szCs w:val="28"/>
        </w:rPr>
        <w:t>Проводитьмероприятияпосовершенствованиюподготовки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переподготовки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повышениюквалификации</w:t>
      </w:r>
      <w:proofErr w:type="spellEnd"/>
      <w:r w:rsidRPr="00635CD7">
        <w:rPr>
          <w:sz w:val="28"/>
          <w:szCs w:val="28"/>
        </w:rPr>
        <w:t xml:space="preserve"> и получениюдополнительногопрофессиональногообразованиямуниципальныхслужащих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1.4. </w:t>
      </w:r>
      <w:proofErr w:type="spellStart"/>
      <w:r w:rsidRPr="00635CD7">
        <w:rPr>
          <w:sz w:val="28"/>
          <w:szCs w:val="28"/>
        </w:rPr>
        <w:t>Проводитьконкурсназамещениедолжностимуниципальнойслужбы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муниципальномобразовании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1.5.В </w:t>
      </w:r>
      <w:proofErr w:type="spellStart"/>
      <w:r w:rsidRPr="00635CD7">
        <w:rPr>
          <w:sz w:val="28"/>
          <w:szCs w:val="28"/>
        </w:rPr>
        <w:t>сроки</w:t>
      </w:r>
      <w:proofErr w:type="spellEnd"/>
      <w:r w:rsidRPr="00635CD7">
        <w:rPr>
          <w:sz w:val="28"/>
          <w:szCs w:val="28"/>
        </w:rPr>
        <w:t>, установленныедействующимзаконодательствомпроводитьаттестациюмуниципальногослужащего в целяхопределенияегосоответствиязамещаемойдолжностимуниципальнойслужбы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Дляпреодоления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негативныхтенденций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работеперсонала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необходимо</w:t>
      </w:r>
      <w:proofErr w:type="spellEnd"/>
      <w:r w:rsidRPr="00635CD7">
        <w:rPr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эффективноиспользоватьсовременныетехнологииуправленияперсоналом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повышатьэффективностьправовых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организационныхмерконтролядеятельностимуниципальныхслужащих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- п</w:t>
      </w:r>
      <w:r>
        <w:rPr>
          <w:sz w:val="28"/>
          <w:szCs w:val="28"/>
          <w:lang w:val="ru-RU"/>
        </w:rPr>
        <w:t>о</w:t>
      </w:r>
      <w:proofErr w:type="spellStart"/>
      <w:r w:rsidRPr="00635CD7">
        <w:rPr>
          <w:sz w:val="28"/>
          <w:szCs w:val="28"/>
        </w:rPr>
        <w:t>вышатьэффективностькадровойполитики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сферемуниципальнойслужбы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улучшатьресурснуюобеспеченностьмуниципальнойслужбы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- систематизироватьорганизациюпрофессиональногообучениямуниципальныхслужащих;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повышатьпрестижностьмуниципальнойслужбы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привлекать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муниципальнуюслужбумолодыхинициативныхспециалистов</w:t>
      </w:r>
      <w:proofErr w:type="spellEnd"/>
      <w:r w:rsidRPr="00635CD7">
        <w:rPr>
          <w:sz w:val="28"/>
          <w:szCs w:val="28"/>
        </w:rPr>
        <w:t>, </w:t>
      </w:r>
      <w:proofErr w:type="spellStart"/>
      <w:r w:rsidRPr="00635CD7">
        <w:rPr>
          <w:sz w:val="28"/>
          <w:szCs w:val="28"/>
        </w:rPr>
        <w:t>воспитывать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сотрудникахпреемственностькадров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</w:t>
      </w:r>
    </w:p>
    <w:p w:rsidR="00635CD7" w:rsidRPr="00635CD7" w:rsidRDefault="00635CD7" w:rsidP="00635CD7">
      <w:pPr>
        <w:pStyle w:val="TableContents"/>
        <w:jc w:val="center"/>
        <w:rPr>
          <w:sz w:val="28"/>
          <w:szCs w:val="28"/>
        </w:rPr>
      </w:pPr>
      <w:r w:rsidRPr="00635CD7">
        <w:rPr>
          <w:sz w:val="28"/>
          <w:szCs w:val="28"/>
        </w:rPr>
        <w:t xml:space="preserve">2. </w:t>
      </w:r>
      <w:proofErr w:type="spellStart"/>
      <w:r w:rsidRPr="00635CD7">
        <w:rPr>
          <w:b/>
          <w:sz w:val="28"/>
          <w:szCs w:val="28"/>
        </w:rPr>
        <w:t>Экономическоеобоснование</w:t>
      </w:r>
      <w:proofErr w:type="spellEnd"/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Запланированноеиспользованиефинансовыхсредствместногобюджетапореализации П</w:t>
      </w:r>
      <w:r>
        <w:rPr>
          <w:sz w:val="28"/>
          <w:szCs w:val="28"/>
          <w:lang w:val="ru-RU"/>
        </w:rPr>
        <w:t>од</w:t>
      </w:r>
      <w:proofErr w:type="spellStart"/>
      <w:r w:rsidRPr="00635CD7">
        <w:rPr>
          <w:sz w:val="28"/>
          <w:szCs w:val="28"/>
        </w:rPr>
        <w:t>рограммывключает</w:t>
      </w:r>
      <w:proofErr w:type="spellEnd"/>
      <w:r w:rsidRPr="00635CD7">
        <w:rPr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  <w:lang w:val="ru-RU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об</w:t>
      </w:r>
      <w:r>
        <w:rPr>
          <w:sz w:val="28"/>
          <w:szCs w:val="28"/>
        </w:rPr>
        <w:t>учение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повышениеквалификации</w:t>
      </w:r>
      <w:proofErr w:type="spellEnd"/>
      <w:r>
        <w:rPr>
          <w:sz w:val="28"/>
          <w:szCs w:val="28"/>
          <w:lang w:val="ru-RU"/>
        </w:rPr>
        <w:t xml:space="preserve"> на базе </w:t>
      </w:r>
      <w:proofErr w:type="spellStart"/>
      <w:r>
        <w:rPr>
          <w:sz w:val="28"/>
          <w:szCs w:val="28"/>
        </w:rPr>
        <w:t>учебно-методическихцентр</w:t>
      </w:r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 xml:space="preserve"> г. Ростова на – Дону и  Ростовской области.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4A2BA7">
      <w:pPr>
        <w:pStyle w:val="TableContents"/>
        <w:jc w:val="center"/>
        <w:rPr>
          <w:sz w:val="28"/>
          <w:szCs w:val="28"/>
        </w:rPr>
      </w:pPr>
      <w:r w:rsidRPr="00635CD7">
        <w:rPr>
          <w:b/>
          <w:sz w:val="28"/>
          <w:szCs w:val="28"/>
        </w:rPr>
        <w:t>ФИНАНСИРОВАНИЕ П</w:t>
      </w:r>
      <w:r>
        <w:rPr>
          <w:b/>
          <w:sz w:val="28"/>
          <w:szCs w:val="28"/>
          <w:lang w:val="ru-RU"/>
        </w:rPr>
        <w:t>ОДП</w:t>
      </w:r>
      <w:r w:rsidRPr="00635CD7">
        <w:rPr>
          <w:b/>
          <w:sz w:val="28"/>
          <w:szCs w:val="28"/>
        </w:rPr>
        <w:t>РОГРАММЫ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7140"/>
        <w:gridCol w:w="1936"/>
      </w:tblGrid>
      <w:tr w:rsidR="00635CD7" w:rsidRPr="00635CD7" w:rsidTr="00635CD7">
        <w:tc>
          <w:tcPr>
            <w:tcW w:w="554" w:type="dxa"/>
          </w:tcPr>
          <w:p w:rsidR="00635CD7" w:rsidRPr="00635CD7" w:rsidRDefault="00635CD7" w:rsidP="00635CD7">
            <w:pPr>
              <w:pStyle w:val="TableContents"/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rPr>
                <w:sz w:val="28"/>
                <w:szCs w:val="28"/>
              </w:rPr>
            </w:pPr>
            <w:r w:rsidRPr="00635CD7">
              <w:rPr>
                <w:sz w:val="28"/>
                <w:szCs w:val="28"/>
              </w:rPr>
              <w:t xml:space="preserve"> N </w:t>
            </w:r>
            <w:r w:rsidRPr="00635CD7">
              <w:rPr>
                <w:sz w:val="28"/>
                <w:szCs w:val="28"/>
              </w:rPr>
              <w:br/>
              <w:t>п./п</w:t>
            </w:r>
          </w:p>
        </w:tc>
        <w:tc>
          <w:tcPr>
            <w:tcW w:w="7140" w:type="dxa"/>
          </w:tcPr>
          <w:p w:rsidR="00635CD7" w:rsidRPr="00635CD7" w:rsidRDefault="00635CD7" w:rsidP="00635CD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4" w:color="00000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4" w:color="000000"/>
              </w:pBdr>
              <w:rPr>
                <w:sz w:val="28"/>
                <w:szCs w:val="28"/>
              </w:rPr>
            </w:pPr>
            <w:proofErr w:type="spellStart"/>
            <w:r w:rsidRPr="00635CD7">
              <w:rPr>
                <w:sz w:val="28"/>
                <w:szCs w:val="28"/>
              </w:rPr>
              <w:t>Источникфинансирования</w:t>
            </w:r>
            <w:proofErr w:type="spellEnd"/>
            <w:r w:rsidRPr="00635CD7">
              <w:rPr>
                <w:sz w:val="28"/>
                <w:szCs w:val="28"/>
              </w:rPr>
              <w:t>          </w:t>
            </w:r>
          </w:p>
        </w:tc>
        <w:tc>
          <w:tcPr>
            <w:tcW w:w="1936" w:type="dxa"/>
          </w:tcPr>
          <w:p w:rsidR="00635CD7" w:rsidRPr="00635CD7" w:rsidRDefault="00635CD7" w:rsidP="00635CD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4" w:color="00000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4" w:color="000000"/>
              </w:pBdr>
              <w:rPr>
                <w:sz w:val="28"/>
                <w:szCs w:val="28"/>
              </w:rPr>
            </w:pPr>
            <w:proofErr w:type="spellStart"/>
            <w:r w:rsidRPr="00635CD7">
              <w:rPr>
                <w:sz w:val="28"/>
                <w:szCs w:val="28"/>
              </w:rPr>
              <w:t>Средства</w:t>
            </w:r>
            <w:proofErr w:type="spellEnd"/>
            <w:r w:rsidRPr="00635CD7">
              <w:rPr>
                <w:sz w:val="28"/>
                <w:szCs w:val="28"/>
              </w:rPr>
              <w:t xml:space="preserve">    </w:t>
            </w:r>
            <w:r w:rsidRPr="00635CD7">
              <w:rPr>
                <w:sz w:val="28"/>
                <w:szCs w:val="28"/>
              </w:rPr>
              <w:br/>
              <w:t xml:space="preserve">(в </w:t>
            </w:r>
            <w:proofErr w:type="spellStart"/>
            <w:r w:rsidRPr="00635CD7">
              <w:rPr>
                <w:sz w:val="28"/>
                <w:szCs w:val="28"/>
              </w:rPr>
              <w:t>тыс</w:t>
            </w:r>
            <w:proofErr w:type="spellEnd"/>
            <w:r w:rsidRPr="00635CD7">
              <w:rPr>
                <w:sz w:val="28"/>
                <w:szCs w:val="28"/>
              </w:rPr>
              <w:t xml:space="preserve">. </w:t>
            </w:r>
            <w:proofErr w:type="spellStart"/>
            <w:r w:rsidRPr="00635CD7">
              <w:rPr>
                <w:sz w:val="28"/>
                <w:szCs w:val="28"/>
              </w:rPr>
              <w:t>руб</w:t>
            </w:r>
            <w:proofErr w:type="spellEnd"/>
            <w:r w:rsidRPr="00635CD7">
              <w:rPr>
                <w:sz w:val="28"/>
                <w:szCs w:val="28"/>
              </w:rPr>
              <w:t>.)</w:t>
            </w:r>
          </w:p>
        </w:tc>
      </w:tr>
      <w:tr w:rsidR="00635CD7" w:rsidRPr="00635CD7" w:rsidTr="00635CD7">
        <w:tc>
          <w:tcPr>
            <w:tcW w:w="554" w:type="dxa"/>
          </w:tcPr>
          <w:p w:rsidR="00635CD7" w:rsidRPr="00635CD7" w:rsidRDefault="00635CD7" w:rsidP="00635CD7">
            <w:pPr>
              <w:pStyle w:val="TableContents"/>
              <w:pBdr>
                <w:left w:val="single" w:sz="8" w:space="4" w:color="F0F0F0"/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left w:val="single" w:sz="8" w:space="4" w:color="F0F0F0"/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  <w:r w:rsidRPr="00635CD7">
              <w:rPr>
                <w:sz w:val="28"/>
                <w:szCs w:val="28"/>
              </w:rPr>
              <w:t>1.</w:t>
            </w:r>
          </w:p>
        </w:tc>
        <w:tc>
          <w:tcPr>
            <w:tcW w:w="7140" w:type="dxa"/>
          </w:tcPr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  <w:proofErr w:type="spellStart"/>
            <w:r w:rsidRPr="00635CD7">
              <w:rPr>
                <w:sz w:val="28"/>
                <w:szCs w:val="28"/>
              </w:rPr>
              <w:t>Местныйбюджет</w:t>
            </w:r>
            <w:proofErr w:type="spellEnd"/>
            <w:r w:rsidRPr="00635CD7">
              <w:rPr>
                <w:sz w:val="28"/>
                <w:szCs w:val="28"/>
              </w:rPr>
              <w:t xml:space="preserve"> (</w:t>
            </w:r>
            <w:proofErr w:type="spellStart"/>
            <w:r w:rsidRPr="00635CD7">
              <w:rPr>
                <w:sz w:val="28"/>
                <w:szCs w:val="28"/>
              </w:rPr>
              <w:t>распорядительбюджетных</w:t>
            </w:r>
            <w:proofErr w:type="spellEnd"/>
            <w:r w:rsidRPr="00635CD7">
              <w:rPr>
                <w:sz w:val="28"/>
                <w:szCs w:val="28"/>
              </w:rPr>
              <w:t xml:space="preserve">     </w:t>
            </w:r>
            <w:r w:rsidRPr="00635CD7">
              <w:rPr>
                <w:sz w:val="28"/>
                <w:szCs w:val="28"/>
              </w:rPr>
              <w:br/>
            </w:r>
            <w:proofErr w:type="spellStart"/>
            <w:r w:rsidRPr="00635CD7">
              <w:rPr>
                <w:sz w:val="28"/>
                <w:szCs w:val="28"/>
              </w:rPr>
              <w:lastRenderedPageBreak/>
              <w:t>средств</w:t>
            </w:r>
            <w:proofErr w:type="spellEnd"/>
            <w:r w:rsidRPr="00635CD7">
              <w:rPr>
                <w:sz w:val="28"/>
                <w:szCs w:val="28"/>
              </w:rPr>
              <w:t xml:space="preserve"> - </w:t>
            </w:r>
            <w:proofErr w:type="spellStart"/>
            <w:r w:rsidRPr="00635CD7">
              <w:rPr>
                <w:sz w:val="28"/>
                <w:szCs w:val="28"/>
              </w:rPr>
              <w:t>администрация</w:t>
            </w:r>
            <w:proofErr w:type="spellEnd"/>
            <w:r w:rsidRPr="00635CD7">
              <w:rPr>
                <w:sz w:val="28"/>
                <w:szCs w:val="28"/>
              </w:rPr>
              <w:t> </w:t>
            </w:r>
            <w:proofErr w:type="spellStart"/>
            <w:r w:rsidRPr="00635CD7">
              <w:rPr>
                <w:sz w:val="28"/>
                <w:szCs w:val="28"/>
              </w:rPr>
              <w:t>муниципальногообразования</w:t>
            </w:r>
            <w:proofErr w:type="spellEnd"/>
            <w:r w:rsidRPr="00635CD7">
              <w:rPr>
                <w:sz w:val="28"/>
                <w:szCs w:val="28"/>
              </w:rPr>
              <w:t>) </w:t>
            </w:r>
          </w:p>
        </w:tc>
        <w:tc>
          <w:tcPr>
            <w:tcW w:w="1936" w:type="dxa"/>
          </w:tcPr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14,0</w:t>
            </w:r>
          </w:p>
        </w:tc>
      </w:tr>
      <w:tr w:rsidR="00635CD7" w:rsidRPr="00635CD7" w:rsidTr="00635CD7">
        <w:tc>
          <w:tcPr>
            <w:tcW w:w="554" w:type="dxa"/>
          </w:tcPr>
          <w:p w:rsidR="00635CD7" w:rsidRPr="00635CD7" w:rsidRDefault="00635CD7" w:rsidP="00635CD7">
            <w:pPr>
              <w:pStyle w:val="TableContents"/>
              <w:pBdr>
                <w:left w:val="single" w:sz="8" w:space="4" w:color="F0F0F0"/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left w:val="single" w:sz="8" w:space="4" w:color="F0F0F0"/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  <w:r w:rsidRPr="00635CD7">
              <w:rPr>
                <w:sz w:val="28"/>
                <w:szCs w:val="28"/>
              </w:rPr>
              <w:t> </w:t>
            </w:r>
          </w:p>
        </w:tc>
        <w:tc>
          <w:tcPr>
            <w:tcW w:w="7140" w:type="dxa"/>
          </w:tcPr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  <w:proofErr w:type="spellStart"/>
            <w:r w:rsidRPr="00635CD7">
              <w:rPr>
                <w:sz w:val="28"/>
                <w:szCs w:val="28"/>
              </w:rPr>
              <w:t>Итого</w:t>
            </w:r>
            <w:proofErr w:type="spellEnd"/>
            <w:r w:rsidRPr="00635CD7">
              <w:rPr>
                <w:sz w:val="28"/>
                <w:szCs w:val="28"/>
              </w:rPr>
              <w:t>                                      </w:t>
            </w:r>
          </w:p>
        </w:tc>
        <w:tc>
          <w:tcPr>
            <w:tcW w:w="1936" w:type="dxa"/>
          </w:tcPr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</w:rPr>
            </w:pPr>
          </w:p>
          <w:p w:rsidR="00635CD7" w:rsidRPr="00635CD7" w:rsidRDefault="00635CD7" w:rsidP="00635CD7">
            <w:pPr>
              <w:pStyle w:val="TableContents"/>
              <w:pBdr>
                <w:bottom w:val="single" w:sz="8" w:space="1" w:color="F0F0F0"/>
                <w:right w:val="single" w:sz="8" w:space="4" w:color="F0F0F0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14,0</w:t>
            </w:r>
          </w:p>
        </w:tc>
      </w:tr>
    </w:tbl>
    <w:p w:rsidR="00635CD7" w:rsidRPr="00635CD7" w:rsidRDefault="00635CD7" w:rsidP="00635CD7">
      <w:pPr>
        <w:pStyle w:val="TableContents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годам</w:t>
      </w:r>
    </w:p>
    <w:p w:rsidR="00635CD7" w:rsidRDefault="00635CD7" w:rsidP="00635CD7">
      <w:pPr>
        <w:jc w:val="right"/>
        <w:rPr>
          <w:sz w:val="28"/>
        </w:rPr>
      </w:pPr>
      <w:r w:rsidRPr="00635CD7">
        <w:rPr>
          <w:sz w:val="28"/>
          <w:szCs w:val="28"/>
        </w:rPr>
        <w:t> </w:t>
      </w:r>
      <w:r>
        <w:rPr>
          <w:sz w:val="28"/>
        </w:rPr>
        <w:t>2014 год –  2,0  тыс. рублей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2015 год –  2,0  тыс. рублей;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2016 год –  2,0  тыс. рублей;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2017 год –  2,0  тыс. рублей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2018 год –  2,0  тыс. рублей;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2019 год –  2,0  тыс. рублей;</w:t>
      </w:r>
    </w:p>
    <w:p w:rsidR="00635CD7" w:rsidRDefault="00635CD7" w:rsidP="00635CD7">
      <w:pPr>
        <w:jc w:val="right"/>
        <w:rPr>
          <w:sz w:val="28"/>
        </w:rPr>
      </w:pPr>
      <w:r>
        <w:rPr>
          <w:sz w:val="28"/>
        </w:rPr>
        <w:t>2020 год –  2,0  тыс. рублей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Размербюджетныхассигнованийможетбытьскорректирован</w:t>
      </w:r>
      <w:proofErr w:type="spellEnd"/>
      <w:r w:rsidRPr="00635CD7">
        <w:rPr>
          <w:sz w:val="28"/>
          <w:szCs w:val="28"/>
        </w:rPr>
        <w:t xml:space="preserve"> с </w:t>
      </w:r>
      <w:proofErr w:type="spellStart"/>
      <w:r w:rsidRPr="00635CD7">
        <w:rPr>
          <w:sz w:val="28"/>
          <w:szCs w:val="28"/>
        </w:rPr>
        <w:t>учетомместногобюджета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3</w:t>
      </w:r>
      <w:r w:rsidRPr="00635CD7">
        <w:rPr>
          <w:b/>
          <w:sz w:val="28"/>
          <w:szCs w:val="28"/>
        </w:rPr>
        <w:t xml:space="preserve">. </w:t>
      </w:r>
      <w:proofErr w:type="spellStart"/>
      <w:r w:rsidRPr="00635CD7">
        <w:rPr>
          <w:b/>
          <w:sz w:val="28"/>
          <w:szCs w:val="28"/>
        </w:rPr>
        <w:t>Информатизацияоргановместногосамоуправления</w:t>
      </w:r>
      <w:proofErr w:type="spellEnd"/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  3.1 </w:t>
      </w:r>
      <w:proofErr w:type="spellStart"/>
      <w:r w:rsidRPr="00635CD7">
        <w:rPr>
          <w:sz w:val="28"/>
          <w:szCs w:val="28"/>
        </w:rPr>
        <w:t>Постояннопроводитьработупоинформатизации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обеспечениюоткрытостидеятельностиадминистрации</w:t>
      </w:r>
      <w:proofErr w:type="spellEnd"/>
      <w:r>
        <w:rPr>
          <w:sz w:val="28"/>
          <w:szCs w:val="28"/>
          <w:lang w:val="ru-RU"/>
        </w:rPr>
        <w:t xml:space="preserve"> Александровского</w:t>
      </w:r>
      <w:proofErr w:type="spellStart"/>
      <w:r w:rsidRPr="00635CD7">
        <w:rPr>
          <w:sz w:val="28"/>
          <w:szCs w:val="28"/>
        </w:rPr>
        <w:t>сельскогопоселениядлянаселения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3.2. С </w:t>
      </w:r>
      <w:proofErr w:type="spellStart"/>
      <w:r w:rsidRPr="00635CD7">
        <w:rPr>
          <w:sz w:val="28"/>
          <w:szCs w:val="28"/>
        </w:rPr>
        <w:t>цельюповышенияэффективностиуправлениямуниципальнымобразованием</w:t>
      </w:r>
      <w:proofErr w:type="spellEnd"/>
      <w:r w:rsidRPr="00635CD7">
        <w:rPr>
          <w:sz w:val="28"/>
          <w:szCs w:val="28"/>
        </w:rPr>
        <w:t xml:space="preserve"> и кадровымсоставомвводитьновыеинформационно-коммуникационныетехнологии в </w:t>
      </w:r>
      <w:proofErr w:type="spellStart"/>
      <w:r w:rsidRPr="00635CD7">
        <w:rPr>
          <w:sz w:val="28"/>
          <w:szCs w:val="28"/>
        </w:rPr>
        <w:t>администрации</w:t>
      </w:r>
      <w:proofErr w:type="spellEnd"/>
      <w:r w:rsidRPr="00635CD7"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Александровского</w:t>
      </w:r>
      <w:proofErr w:type="spellStart"/>
      <w:r w:rsidRPr="00635CD7">
        <w:rPr>
          <w:sz w:val="28"/>
          <w:szCs w:val="28"/>
        </w:rPr>
        <w:t>сельскогопоселения</w:t>
      </w:r>
      <w:proofErr w:type="spellEnd"/>
      <w:r w:rsidR="002E79BE">
        <w:rPr>
          <w:sz w:val="28"/>
          <w:szCs w:val="28"/>
          <w:lang w:val="ru-RU"/>
        </w:rPr>
        <w:t xml:space="preserve">, </w:t>
      </w:r>
      <w:proofErr w:type="spellStart"/>
      <w:r w:rsidRPr="00635CD7">
        <w:rPr>
          <w:sz w:val="28"/>
          <w:szCs w:val="28"/>
        </w:rPr>
        <w:t>структурныхподразделениях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муниципальныхучреждениях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организациях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Постоянноповышатьобразовательныйуровень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кадров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областиинформационно-коммуникационныхтехнологий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2E79BE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</w:t>
      </w:r>
    </w:p>
    <w:p w:rsidR="00635CD7" w:rsidRPr="00635CD7" w:rsidRDefault="00635CD7" w:rsidP="004A2BA7">
      <w:pPr>
        <w:pStyle w:val="TableContents"/>
        <w:jc w:val="center"/>
        <w:rPr>
          <w:sz w:val="28"/>
          <w:szCs w:val="28"/>
        </w:rPr>
      </w:pPr>
      <w:r w:rsidRPr="00635CD7">
        <w:rPr>
          <w:sz w:val="28"/>
          <w:szCs w:val="28"/>
        </w:rPr>
        <w:t>4.</w:t>
      </w:r>
      <w:r w:rsidRPr="00635CD7">
        <w:rPr>
          <w:b/>
          <w:sz w:val="28"/>
          <w:szCs w:val="28"/>
        </w:rPr>
        <w:t xml:space="preserve">Внедрение </w:t>
      </w:r>
      <w:proofErr w:type="spellStart"/>
      <w:r w:rsidRPr="00635CD7">
        <w:rPr>
          <w:b/>
          <w:sz w:val="28"/>
          <w:szCs w:val="28"/>
        </w:rPr>
        <w:t>механизмауправленияпорезультатам</w:t>
      </w:r>
      <w:proofErr w:type="spellEnd"/>
    </w:p>
    <w:p w:rsidR="00635CD7" w:rsidRPr="00635CD7" w:rsidRDefault="00635CD7" w:rsidP="00635CD7">
      <w:pPr>
        <w:pStyle w:val="TableContents"/>
        <w:rPr>
          <w:sz w:val="28"/>
          <w:szCs w:val="28"/>
        </w:rPr>
      </w:pPr>
      <w:r w:rsidRPr="00635CD7">
        <w:rPr>
          <w:sz w:val="28"/>
          <w:szCs w:val="28"/>
        </w:rPr>
        <w:t xml:space="preserve">     </w:t>
      </w:r>
      <w:proofErr w:type="spellStart"/>
      <w:r w:rsidRPr="00635CD7">
        <w:rPr>
          <w:sz w:val="28"/>
          <w:szCs w:val="28"/>
        </w:rPr>
        <w:t>Дляповышенияэффективностимуниципальногоуправленияразработать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внедритьмеханизмыуправления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ориентированныхнарезультат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чтопозволит</w:t>
      </w:r>
      <w:proofErr w:type="spellEnd"/>
      <w:r w:rsidRPr="00635CD7">
        <w:rPr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болееэффективноосуществлятьконтрользаисполнениемрешений</w:t>
      </w:r>
      <w:proofErr w:type="spellEnd"/>
      <w:r w:rsidR="002E79BE">
        <w:rPr>
          <w:sz w:val="28"/>
          <w:szCs w:val="28"/>
          <w:lang w:val="ru-RU"/>
        </w:rPr>
        <w:t xml:space="preserve"> Собрания депутатов </w:t>
      </w:r>
      <w:proofErr w:type="spellStart"/>
      <w:r w:rsidR="002E79BE">
        <w:rPr>
          <w:sz w:val="28"/>
          <w:szCs w:val="28"/>
          <w:lang w:val="ru-RU"/>
        </w:rPr>
        <w:t>Алексндровского</w:t>
      </w:r>
      <w:proofErr w:type="spellEnd"/>
      <w:r w:rsidR="002E79BE">
        <w:rPr>
          <w:sz w:val="28"/>
          <w:szCs w:val="28"/>
          <w:lang w:val="ru-RU"/>
        </w:rPr>
        <w:t xml:space="preserve"> сельского</w:t>
      </w:r>
      <w:proofErr w:type="spellStart"/>
      <w:r w:rsidRPr="00635CD7">
        <w:rPr>
          <w:sz w:val="28"/>
          <w:szCs w:val="28"/>
        </w:rPr>
        <w:t>поселения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постановлений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распоряженийадминистрации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сельскогопоселения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повыситьэффективностьиспользованияматериально-технических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кадровыхресурсовструктурныхподразделений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2E79BE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Поэтомунаправлениюнеобходимообеспечить</w:t>
      </w:r>
      <w:proofErr w:type="spellEnd"/>
      <w:r w:rsidRPr="00635CD7">
        <w:rPr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создание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внедрениекомплекснойсистемыпланирования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управления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контроляцелей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результатовдеятельности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разработкусоизмеримыхпоказателейэффективности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результативностидеятельности</w:t>
      </w:r>
      <w:proofErr w:type="spellEnd"/>
      <w:r w:rsidRPr="00635CD7">
        <w:rPr>
          <w:sz w:val="28"/>
          <w:szCs w:val="28"/>
        </w:rPr>
        <w:t xml:space="preserve">   </w:t>
      </w:r>
      <w:proofErr w:type="spellStart"/>
      <w:r w:rsidRPr="00635CD7">
        <w:rPr>
          <w:sz w:val="28"/>
          <w:szCs w:val="28"/>
        </w:rPr>
        <w:t>поосновнымнаправлениямихдеятельности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соответствиисостратегическимицелями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2E79BE">
      <w:pPr>
        <w:pStyle w:val="TableContents"/>
        <w:jc w:val="center"/>
        <w:rPr>
          <w:sz w:val="28"/>
          <w:szCs w:val="28"/>
        </w:rPr>
      </w:pPr>
      <w:r w:rsidRPr="00635CD7">
        <w:rPr>
          <w:sz w:val="28"/>
          <w:szCs w:val="28"/>
        </w:rPr>
        <w:lastRenderedPageBreak/>
        <w:t xml:space="preserve">5. </w:t>
      </w:r>
      <w:proofErr w:type="spellStart"/>
      <w:r w:rsidRPr="00635CD7">
        <w:rPr>
          <w:b/>
          <w:sz w:val="28"/>
          <w:szCs w:val="28"/>
        </w:rPr>
        <w:t>Противодействиекоррупции</w:t>
      </w:r>
      <w:proofErr w:type="spellEnd"/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 5.1.В </w:t>
      </w:r>
      <w:proofErr w:type="spellStart"/>
      <w:r w:rsidRPr="00635CD7">
        <w:rPr>
          <w:sz w:val="28"/>
          <w:szCs w:val="28"/>
        </w:rPr>
        <w:t>целяхпротиводействиякоррупции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органахместногосамоуправленияобеспечить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исполнение</w:t>
      </w:r>
      <w:r w:rsidRPr="00635CD7">
        <w:rPr>
          <w:color w:val="000000"/>
          <w:sz w:val="28"/>
          <w:szCs w:val="28"/>
        </w:rPr>
        <w:t>Положения</w:t>
      </w:r>
      <w:proofErr w:type="spellEnd"/>
      <w:r w:rsidRPr="00635CD7">
        <w:rPr>
          <w:color w:val="000000"/>
          <w:sz w:val="28"/>
          <w:szCs w:val="28"/>
        </w:rPr>
        <w:t xml:space="preserve"> о </w:t>
      </w:r>
      <w:proofErr w:type="spellStart"/>
      <w:r w:rsidRPr="00635CD7">
        <w:rPr>
          <w:color w:val="000000"/>
          <w:sz w:val="28"/>
          <w:szCs w:val="28"/>
        </w:rPr>
        <w:t>проверкедостоверности</w:t>
      </w:r>
      <w:proofErr w:type="spellEnd"/>
      <w:r w:rsidRPr="00635CD7">
        <w:rPr>
          <w:color w:val="000000"/>
          <w:sz w:val="28"/>
          <w:szCs w:val="28"/>
        </w:rPr>
        <w:t xml:space="preserve"> и </w:t>
      </w:r>
      <w:proofErr w:type="spellStart"/>
      <w:r w:rsidRPr="00635CD7">
        <w:rPr>
          <w:color w:val="000000"/>
          <w:sz w:val="28"/>
          <w:szCs w:val="28"/>
        </w:rPr>
        <w:t>полнотысведений</w:t>
      </w:r>
      <w:proofErr w:type="spellEnd"/>
      <w:r w:rsidRPr="00635CD7">
        <w:rPr>
          <w:color w:val="000000"/>
          <w:sz w:val="28"/>
          <w:szCs w:val="28"/>
        </w:rPr>
        <w:t xml:space="preserve">, </w:t>
      </w:r>
      <w:proofErr w:type="spellStart"/>
      <w:r w:rsidRPr="00635CD7">
        <w:rPr>
          <w:color w:val="000000"/>
          <w:sz w:val="28"/>
          <w:szCs w:val="28"/>
        </w:rPr>
        <w:t>представляемыхгражданами</w:t>
      </w:r>
      <w:proofErr w:type="spellEnd"/>
      <w:r w:rsidRPr="00635CD7">
        <w:rPr>
          <w:color w:val="000000"/>
          <w:sz w:val="28"/>
          <w:szCs w:val="28"/>
        </w:rPr>
        <w:t xml:space="preserve">, </w:t>
      </w:r>
      <w:proofErr w:type="spellStart"/>
      <w:r w:rsidRPr="00635CD7">
        <w:rPr>
          <w:color w:val="000000"/>
          <w:sz w:val="28"/>
          <w:szCs w:val="28"/>
        </w:rPr>
        <w:t>претендующиминазамещениемуниципальныхдолжностеймуниципальной</w:t>
      </w:r>
      <w:proofErr w:type="spellEnd"/>
      <w:r w:rsidRPr="00635CD7">
        <w:rPr>
          <w:color w:val="000000"/>
          <w:sz w:val="28"/>
          <w:szCs w:val="28"/>
        </w:rPr>
        <w:t xml:space="preserve">, и </w:t>
      </w:r>
      <w:proofErr w:type="spellStart"/>
      <w:r w:rsidRPr="00635CD7">
        <w:rPr>
          <w:color w:val="000000"/>
          <w:sz w:val="28"/>
          <w:szCs w:val="28"/>
        </w:rPr>
        <w:t>соблюдениямуниципальнымислужащимитребований</w:t>
      </w:r>
      <w:proofErr w:type="spellEnd"/>
      <w:r w:rsidRPr="00635CD7">
        <w:rPr>
          <w:color w:val="000000"/>
          <w:sz w:val="28"/>
          <w:szCs w:val="28"/>
        </w:rPr>
        <w:t xml:space="preserve"> к </w:t>
      </w:r>
      <w:proofErr w:type="spellStart"/>
      <w:r w:rsidRPr="00635CD7">
        <w:rPr>
          <w:color w:val="000000"/>
          <w:sz w:val="28"/>
          <w:szCs w:val="28"/>
        </w:rPr>
        <w:t>служебномуповедению</w:t>
      </w:r>
      <w:proofErr w:type="spellEnd"/>
      <w:r w:rsidRPr="00635CD7">
        <w:rPr>
          <w:color w:val="000000"/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5.2. </w:t>
      </w:r>
      <w:proofErr w:type="spellStart"/>
      <w:r w:rsidRPr="00635CD7">
        <w:rPr>
          <w:sz w:val="28"/>
          <w:szCs w:val="28"/>
        </w:rPr>
        <w:t>Организацияэкспертизынормативныхправовыхактов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ихпроектовнакоррупциогенность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5.3. </w:t>
      </w:r>
      <w:proofErr w:type="spellStart"/>
      <w:r w:rsidRPr="00635CD7">
        <w:rPr>
          <w:sz w:val="28"/>
          <w:szCs w:val="28"/>
        </w:rPr>
        <w:t>Разработкауправленческихмерпопрофилактике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предупреждениюкоррупции</w:t>
      </w:r>
      <w:proofErr w:type="spellEnd"/>
      <w:r w:rsidRPr="00635CD7">
        <w:rPr>
          <w:sz w:val="28"/>
          <w:szCs w:val="28"/>
        </w:rPr>
        <w:t xml:space="preserve">, в </w:t>
      </w:r>
      <w:proofErr w:type="spellStart"/>
      <w:r w:rsidRPr="00635CD7">
        <w:rPr>
          <w:sz w:val="28"/>
          <w:szCs w:val="28"/>
        </w:rPr>
        <w:t>системемуниципальнойслужбы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</w:t>
      </w:r>
    </w:p>
    <w:p w:rsidR="00635CD7" w:rsidRPr="00635CD7" w:rsidRDefault="00635CD7" w:rsidP="002E79BE">
      <w:pPr>
        <w:pStyle w:val="TableContents"/>
        <w:jc w:val="center"/>
        <w:rPr>
          <w:sz w:val="28"/>
          <w:szCs w:val="28"/>
        </w:rPr>
      </w:pPr>
      <w:r w:rsidRPr="00635CD7">
        <w:rPr>
          <w:b/>
          <w:sz w:val="28"/>
          <w:szCs w:val="28"/>
        </w:rPr>
        <w:t xml:space="preserve">6. </w:t>
      </w:r>
      <w:proofErr w:type="spellStart"/>
      <w:r w:rsidRPr="00635CD7">
        <w:rPr>
          <w:b/>
          <w:sz w:val="28"/>
          <w:szCs w:val="28"/>
        </w:rPr>
        <w:t>Обеспечение</w:t>
      </w:r>
      <w:proofErr w:type="spellEnd"/>
      <w:r w:rsidRPr="00635CD7">
        <w:rPr>
          <w:b/>
          <w:sz w:val="28"/>
          <w:szCs w:val="28"/>
        </w:rPr>
        <w:t> </w:t>
      </w:r>
      <w:proofErr w:type="spellStart"/>
      <w:r w:rsidRPr="00635CD7">
        <w:rPr>
          <w:b/>
          <w:sz w:val="28"/>
          <w:szCs w:val="28"/>
        </w:rPr>
        <w:t>развитиямуниципальнойслужбы</w:t>
      </w:r>
      <w:proofErr w:type="spellEnd"/>
      <w:r w:rsidRPr="00635CD7">
        <w:rPr>
          <w:b/>
          <w:sz w:val="28"/>
          <w:szCs w:val="28"/>
        </w:rPr>
        <w:t>.</w:t>
      </w:r>
    </w:p>
    <w:p w:rsidR="00635CD7" w:rsidRPr="00635CD7" w:rsidRDefault="00635CD7" w:rsidP="002E79BE">
      <w:pPr>
        <w:pStyle w:val="TableContents"/>
        <w:rPr>
          <w:sz w:val="28"/>
          <w:szCs w:val="28"/>
        </w:rPr>
      </w:pPr>
      <w:r w:rsidRPr="00635CD7">
        <w:rPr>
          <w:sz w:val="28"/>
          <w:szCs w:val="28"/>
        </w:rPr>
        <w:t xml:space="preserve"> Целямимероприятийпоэтомунаправлениюявляютсяформированиенеобходимогоорганизационного, </w:t>
      </w:r>
      <w:proofErr w:type="spellStart"/>
      <w:r w:rsidRPr="00635CD7">
        <w:rPr>
          <w:sz w:val="28"/>
          <w:szCs w:val="28"/>
        </w:rPr>
        <w:t>информационного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кадрового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ресурсногообеспечения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В </w:t>
      </w:r>
      <w:proofErr w:type="spellStart"/>
      <w:r w:rsidRPr="00635CD7">
        <w:rPr>
          <w:sz w:val="28"/>
          <w:szCs w:val="28"/>
        </w:rPr>
        <w:t>рамкахэтогонаправления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необходимо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создатьмеханизммониторинга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оценки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результатов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выполненияпрограммы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b/>
          <w:sz w:val="28"/>
          <w:szCs w:val="28"/>
        </w:rPr>
        <w:t>Длярешенияуказанныхзадачнеобходимоосуществить</w:t>
      </w:r>
      <w:proofErr w:type="spellEnd"/>
      <w:r w:rsidRPr="00635CD7">
        <w:rPr>
          <w:b/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обеспечениеинформационной</w:t>
      </w:r>
      <w:proofErr w:type="spellEnd"/>
      <w:r w:rsidRPr="00635CD7">
        <w:rPr>
          <w:sz w:val="28"/>
          <w:szCs w:val="28"/>
        </w:rPr>
        <w:t xml:space="preserve"> и экспертно-методологическойподдержкиреализациипоставленныхпрограммойзадач, </w:t>
      </w:r>
      <w:proofErr w:type="spellStart"/>
      <w:r w:rsidRPr="00635CD7">
        <w:rPr>
          <w:sz w:val="28"/>
          <w:szCs w:val="28"/>
        </w:rPr>
        <w:t>путемпроведенияпубличныхобсужденийосновныхеецелей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результатов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сбор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анализданных</w:t>
      </w:r>
      <w:proofErr w:type="spellEnd"/>
      <w:r w:rsidRPr="00635CD7">
        <w:rPr>
          <w:sz w:val="28"/>
          <w:szCs w:val="28"/>
        </w:rPr>
        <w:t xml:space="preserve"> о </w:t>
      </w:r>
      <w:proofErr w:type="spellStart"/>
      <w:r w:rsidRPr="00635CD7">
        <w:rPr>
          <w:sz w:val="28"/>
          <w:szCs w:val="28"/>
        </w:rPr>
        <w:t>ходереализациипрограммы</w:t>
      </w:r>
      <w:proofErr w:type="spellEnd"/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4A2BA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b/>
          <w:sz w:val="28"/>
          <w:szCs w:val="28"/>
        </w:rPr>
        <w:t>Длярешениякадровогообеспечениянеобходимо</w:t>
      </w:r>
      <w:proofErr w:type="spellEnd"/>
      <w:r w:rsidRPr="00635CD7">
        <w:rPr>
          <w:b/>
          <w:sz w:val="28"/>
          <w:szCs w:val="28"/>
        </w:rPr>
        <w:t>: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b/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Аттестациярабочегоместа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длясозданияблагоприятных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комфортныхусловийтруда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Ежегодное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проведение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мероприятийпооздоровлениюработников</w:t>
      </w:r>
      <w:proofErr w:type="spellEnd"/>
      <w:r w:rsidRPr="00635CD7">
        <w:rPr>
          <w:sz w:val="28"/>
          <w:szCs w:val="28"/>
        </w:rPr>
        <w:t xml:space="preserve"> (</w:t>
      </w:r>
      <w:proofErr w:type="spellStart"/>
      <w:r w:rsidRPr="00635CD7">
        <w:rPr>
          <w:sz w:val="28"/>
          <w:szCs w:val="28"/>
        </w:rPr>
        <w:t>обязательноепрохождениемедицинскогообследования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пропагандаздоровогообразажизни</w:t>
      </w:r>
      <w:proofErr w:type="spellEnd"/>
      <w:r w:rsidRPr="00635CD7">
        <w:rPr>
          <w:sz w:val="28"/>
          <w:szCs w:val="28"/>
        </w:rPr>
        <w:t>, обеспечение муниципальныхслужащих санаторно-курортнымлечением нальготныхусловиях);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  <w:r w:rsidRPr="00635CD7">
        <w:rPr>
          <w:sz w:val="28"/>
          <w:szCs w:val="28"/>
        </w:rPr>
        <w:t xml:space="preserve">         </w:t>
      </w:r>
      <w:proofErr w:type="spellStart"/>
      <w:r w:rsidRPr="00635CD7">
        <w:rPr>
          <w:sz w:val="28"/>
          <w:szCs w:val="28"/>
        </w:rPr>
        <w:t>Пропагандировать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расширять</w:t>
      </w:r>
      <w:proofErr w:type="spellEnd"/>
      <w:r w:rsidRPr="00635CD7">
        <w:rPr>
          <w:sz w:val="28"/>
          <w:szCs w:val="28"/>
        </w:rPr>
        <w:t> </w:t>
      </w:r>
      <w:proofErr w:type="spellStart"/>
      <w:r w:rsidRPr="00635CD7">
        <w:rPr>
          <w:sz w:val="28"/>
          <w:szCs w:val="28"/>
        </w:rPr>
        <w:t>предоставлениенаборастраховыхуслуг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повышающихзащищенностькаждогоработника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население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целом</w:t>
      </w:r>
      <w:proofErr w:type="spellEnd"/>
      <w:r w:rsidRPr="00635CD7">
        <w:rPr>
          <w:sz w:val="28"/>
          <w:szCs w:val="28"/>
        </w:rPr>
        <w:t xml:space="preserve"> 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4A2BA7">
      <w:pPr>
        <w:pStyle w:val="TableContents"/>
        <w:ind w:firstLine="540"/>
        <w:jc w:val="center"/>
        <w:rPr>
          <w:sz w:val="28"/>
          <w:szCs w:val="28"/>
        </w:rPr>
      </w:pPr>
      <w:bookmarkStart w:id="0" w:name="_GoBack"/>
      <w:r w:rsidRPr="00635CD7">
        <w:rPr>
          <w:b/>
          <w:sz w:val="28"/>
          <w:szCs w:val="28"/>
        </w:rPr>
        <w:t xml:space="preserve">7. </w:t>
      </w:r>
      <w:proofErr w:type="spellStart"/>
      <w:r w:rsidRPr="00635CD7">
        <w:rPr>
          <w:b/>
          <w:sz w:val="28"/>
          <w:szCs w:val="28"/>
        </w:rPr>
        <w:t>Механизмреализации</w:t>
      </w:r>
      <w:proofErr w:type="spellEnd"/>
      <w:r w:rsidRPr="00635CD7">
        <w:rPr>
          <w:b/>
          <w:sz w:val="28"/>
          <w:szCs w:val="28"/>
        </w:rPr>
        <w:t> П</w:t>
      </w:r>
      <w:r w:rsidR="002E79BE">
        <w:rPr>
          <w:b/>
          <w:sz w:val="28"/>
          <w:szCs w:val="28"/>
          <w:lang w:val="ru-RU"/>
        </w:rPr>
        <w:t>од</w:t>
      </w:r>
      <w:proofErr w:type="spellStart"/>
      <w:r w:rsidRPr="00635CD7">
        <w:rPr>
          <w:b/>
          <w:sz w:val="28"/>
          <w:szCs w:val="28"/>
        </w:rPr>
        <w:t>рограммы</w:t>
      </w:r>
      <w:proofErr w:type="spellEnd"/>
    </w:p>
    <w:bookmarkEnd w:id="0"/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С</w:t>
      </w:r>
      <w:r w:rsidR="002E79BE">
        <w:rPr>
          <w:sz w:val="28"/>
          <w:szCs w:val="28"/>
          <w:lang w:val="ru-RU"/>
        </w:rPr>
        <w:t>и</w:t>
      </w:r>
      <w:r w:rsidRPr="00635CD7">
        <w:rPr>
          <w:sz w:val="28"/>
          <w:szCs w:val="28"/>
        </w:rPr>
        <w:t xml:space="preserve">стемауправленияреализациеймероприятийдолжнагарантироватьдостижениепоставленныхцелей, </w:t>
      </w:r>
      <w:proofErr w:type="spellStart"/>
      <w:r w:rsidRPr="00635CD7">
        <w:rPr>
          <w:sz w:val="28"/>
          <w:szCs w:val="28"/>
        </w:rPr>
        <w:t>эффективностьпроведениякаждогоизмероприятий</w:t>
      </w:r>
      <w:proofErr w:type="spellEnd"/>
      <w:r w:rsidRPr="00635CD7">
        <w:rPr>
          <w:sz w:val="28"/>
          <w:szCs w:val="28"/>
        </w:rPr>
        <w:t xml:space="preserve">, а </w:t>
      </w:r>
      <w:proofErr w:type="spellStart"/>
      <w:r w:rsidRPr="00635CD7">
        <w:rPr>
          <w:sz w:val="28"/>
          <w:szCs w:val="28"/>
        </w:rPr>
        <w:t>такжедолгосрочнуюустойчивостьполученныхрезультатов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В этихцеляхмеханизмуправлениядолженбытьорганизованисходяизсогласованных и </w:t>
      </w:r>
      <w:proofErr w:type="spellStart"/>
      <w:r w:rsidRPr="00635CD7">
        <w:rPr>
          <w:sz w:val="28"/>
          <w:szCs w:val="28"/>
        </w:rPr>
        <w:t>утвержденныхпланов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централизованногоконтролякачествауправлениямероприятиями</w:t>
      </w:r>
      <w:proofErr w:type="spellEnd"/>
      <w:r w:rsidRPr="00635CD7">
        <w:rPr>
          <w:sz w:val="28"/>
          <w:szCs w:val="28"/>
        </w:rPr>
        <w:t>.</w:t>
      </w:r>
    </w:p>
    <w:p w:rsidR="00635CD7" w:rsidRPr="002E79BE" w:rsidRDefault="00635CD7" w:rsidP="00635CD7">
      <w:pPr>
        <w:pStyle w:val="TableContents"/>
        <w:ind w:firstLine="540"/>
        <w:jc w:val="both"/>
        <w:rPr>
          <w:sz w:val="28"/>
          <w:szCs w:val="28"/>
          <w:lang w:val="ru-RU"/>
        </w:rPr>
      </w:pPr>
      <w:proofErr w:type="spellStart"/>
      <w:r w:rsidRPr="00635CD7">
        <w:rPr>
          <w:sz w:val="28"/>
          <w:szCs w:val="28"/>
        </w:rPr>
        <w:t>Ответственн</w:t>
      </w:r>
      <w:r w:rsidR="002E79BE">
        <w:rPr>
          <w:sz w:val="28"/>
          <w:szCs w:val="28"/>
          <w:lang w:val="ru-RU"/>
        </w:rPr>
        <w:t>ыми</w:t>
      </w:r>
      <w:r w:rsidRPr="00635CD7">
        <w:rPr>
          <w:sz w:val="28"/>
          <w:szCs w:val="28"/>
        </w:rPr>
        <w:t>должностным</w:t>
      </w:r>
      <w:proofErr w:type="spellEnd"/>
      <w:r w:rsidR="002E79BE">
        <w:rPr>
          <w:sz w:val="28"/>
          <w:szCs w:val="28"/>
          <w:lang w:val="ru-RU"/>
        </w:rPr>
        <w:t>и</w:t>
      </w:r>
      <w:proofErr w:type="spellStart"/>
      <w:r w:rsidRPr="00635CD7">
        <w:rPr>
          <w:sz w:val="28"/>
          <w:szCs w:val="28"/>
        </w:rPr>
        <w:t>лиц</w:t>
      </w:r>
      <w:r w:rsidR="002E79BE">
        <w:rPr>
          <w:sz w:val="28"/>
          <w:szCs w:val="28"/>
          <w:lang w:val="ru-RU"/>
        </w:rPr>
        <w:t>ами</w:t>
      </w:r>
      <w:r w:rsidRPr="00635CD7">
        <w:rPr>
          <w:sz w:val="28"/>
          <w:szCs w:val="28"/>
        </w:rPr>
        <w:t>зареализациюпрограммыявля</w:t>
      </w:r>
      <w:r w:rsidR="002E79BE">
        <w:rPr>
          <w:sz w:val="28"/>
          <w:szCs w:val="28"/>
          <w:lang w:val="ru-RU"/>
        </w:rPr>
        <w:t>ютсяспециалисты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которы</w:t>
      </w:r>
      <w:proofErr w:type="spellEnd"/>
      <w:r w:rsidR="002E79BE">
        <w:rPr>
          <w:sz w:val="28"/>
          <w:szCs w:val="28"/>
          <w:lang w:val="ru-RU"/>
        </w:rPr>
        <w:t>е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lastRenderedPageBreak/>
        <w:t xml:space="preserve">- </w:t>
      </w:r>
      <w:proofErr w:type="spellStart"/>
      <w:r w:rsidRPr="00635CD7">
        <w:rPr>
          <w:sz w:val="28"/>
          <w:szCs w:val="28"/>
        </w:rPr>
        <w:t>организу</w:t>
      </w:r>
      <w:r w:rsidR="002E79BE">
        <w:rPr>
          <w:sz w:val="28"/>
          <w:szCs w:val="28"/>
          <w:lang w:val="ru-RU"/>
        </w:rPr>
        <w:t>ю</w:t>
      </w:r>
      <w:proofErr w:type="spellEnd"/>
      <w:r w:rsidRPr="00635CD7">
        <w:rPr>
          <w:sz w:val="28"/>
          <w:szCs w:val="28"/>
        </w:rPr>
        <w:t xml:space="preserve">т </w:t>
      </w:r>
      <w:proofErr w:type="spellStart"/>
      <w:r w:rsidRPr="00635CD7">
        <w:rPr>
          <w:sz w:val="28"/>
          <w:szCs w:val="28"/>
        </w:rPr>
        <w:t>подготовкупроектовнормативныхправовыхактов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регламентов</w:t>
      </w:r>
      <w:proofErr w:type="spellEnd"/>
      <w:r w:rsidRPr="00635CD7">
        <w:rPr>
          <w:sz w:val="28"/>
          <w:szCs w:val="28"/>
        </w:rPr>
        <w:t>;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 xml:space="preserve">- </w:t>
      </w:r>
      <w:proofErr w:type="spellStart"/>
      <w:r w:rsidRPr="00635CD7">
        <w:rPr>
          <w:sz w:val="28"/>
          <w:szCs w:val="28"/>
        </w:rPr>
        <w:t>обеспечива</w:t>
      </w:r>
      <w:r w:rsidR="002E79BE">
        <w:rPr>
          <w:sz w:val="28"/>
          <w:szCs w:val="28"/>
          <w:lang w:val="ru-RU"/>
        </w:rPr>
        <w:t>ю</w:t>
      </w:r>
      <w:proofErr w:type="spellEnd"/>
      <w:r w:rsidRPr="00635CD7">
        <w:rPr>
          <w:sz w:val="28"/>
          <w:szCs w:val="28"/>
        </w:rPr>
        <w:t xml:space="preserve">т </w:t>
      </w:r>
      <w:proofErr w:type="spellStart"/>
      <w:r w:rsidRPr="00635CD7">
        <w:rPr>
          <w:sz w:val="28"/>
          <w:szCs w:val="28"/>
        </w:rPr>
        <w:t>проведениеанализапредложенийпооптимизацииструктуры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функцийадминистрации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proofErr w:type="spellStart"/>
      <w:r w:rsidRPr="00635CD7">
        <w:rPr>
          <w:sz w:val="28"/>
          <w:szCs w:val="28"/>
        </w:rPr>
        <w:t>Финасированиемероприятий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предусмотренныхПрограммой</w:t>
      </w:r>
      <w:proofErr w:type="spellEnd"/>
      <w:r w:rsidRPr="00635CD7">
        <w:rPr>
          <w:sz w:val="28"/>
          <w:szCs w:val="28"/>
        </w:rPr>
        <w:t xml:space="preserve"> и </w:t>
      </w:r>
      <w:proofErr w:type="spellStart"/>
      <w:r w:rsidRPr="00635CD7">
        <w:rPr>
          <w:sz w:val="28"/>
          <w:szCs w:val="28"/>
        </w:rPr>
        <w:t>реализуемыхадминистрацией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осуществляется</w:t>
      </w:r>
      <w:proofErr w:type="spellEnd"/>
      <w:r w:rsidRPr="00635CD7">
        <w:rPr>
          <w:sz w:val="28"/>
          <w:szCs w:val="28"/>
        </w:rPr>
        <w:t xml:space="preserve"> в </w:t>
      </w:r>
      <w:proofErr w:type="spellStart"/>
      <w:r w:rsidRPr="00635CD7">
        <w:rPr>
          <w:sz w:val="28"/>
          <w:szCs w:val="28"/>
        </w:rPr>
        <w:t>пределахсредств</w:t>
      </w:r>
      <w:proofErr w:type="spellEnd"/>
      <w:r w:rsidRPr="00635CD7">
        <w:rPr>
          <w:sz w:val="28"/>
          <w:szCs w:val="28"/>
        </w:rPr>
        <w:t xml:space="preserve">, </w:t>
      </w:r>
      <w:proofErr w:type="spellStart"/>
      <w:r w:rsidRPr="00635CD7">
        <w:rPr>
          <w:sz w:val="28"/>
          <w:szCs w:val="28"/>
        </w:rPr>
        <w:t>предусмотренныхместнымбюджетомнасоответствующийгод</w:t>
      </w:r>
      <w:proofErr w:type="spellEnd"/>
      <w:r w:rsidRPr="00635CD7">
        <w:rPr>
          <w:sz w:val="28"/>
          <w:szCs w:val="28"/>
        </w:rPr>
        <w:t>.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635CD7" w:rsidRPr="00635CD7" w:rsidRDefault="00635CD7" w:rsidP="00635CD7">
      <w:pPr>
        <w:pStyle w:val="TableContents"/>
        <w:ind w:firstLine="540"/>
        <w:jc w:val="both"/>
        <w:rPr>
          <w:sz w:val="28"/>
          <w:szCs w:val="28"/>
        </w:rPr>
      </w:pPr>
      <w:r w:rsidRPr="00635CD7">
        <w:rPr>
          <w:sz w:val="28"/>
          <w:szCs w:val="28"/>
        </w:rPr>
        <w:t> </w:t>
      </w:r>
    </w:p>
    <w:p w:rsidR="00635CD7" w:rsidRPr="00635CD7" w:rsidRDefault="00635CD7" w:rsidP="00635CD7">
      <w:pPr>
        <w:pStyle w:val="TableContents"/>
        <w:rPr>
          <w:sz w:val="28"/>
          <w:szCs w:val="28"/>
        </w:rPr>
      </w:pPr>
    </w:p>
    <w:p w:rsidR="002E79BE" w:rsidRDefault="002E79BE" w:rsidP="00635CD7">
      <w:pPr>
        <w:pStyle w:val="TableContents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ЦЕЛЕВЫЕ ПОКАЗАТКЛИ  РЕАЛИЗАЦИИ ПОДПРОГРАММЫ</w:t>
      </w:r>
    </w:p>
    <w:p w:rsidR="002E79BE" w:rsidRDefault="002E79BE" w:rsidP="00635CD7">
      <w:pPr>
        <w:pStyle w:val="TableContents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491"/>
        <w:gridCol w:w="4002"/>
        <w:gridCol w:w="724"/>
        <w:gridCol w:w="622"/>
        <w:gridCol w:w="622"/>
        <w:gridCol w:w="622"/>
        <w:gridCol w:w="622"/>
        <w:gridCol w:w="622"/>
        <w:gridCol w:w="622"/>
        <w:gridCol w:w="622"/>
      </w:tblGrid>
      <w:tr w:rsidR="00C860DF" w:rsidTr="007859FF">
        <w:trPr>
          <w:trHeight w:val="360"/>
        </w:trPr>
        <w:tc>
          <w:tcPr>
            <w:tcW w:w="595" w:type="dxa"/>
            <w:vMerge w:val="restart"/>
          </w:tcPr>
          <w:p w:rsidR="003D6D1B" w:rsidRPr="002E79BE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088" w:type="dxa"/>
            <w:vMerge w:val="restart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целевого показателя</w:t>
            </w:r>
          </w:p>
        </w:tc>
        <w:tc>
          <w:tcPr>
            <w:tcW w:w="914" w:type="dxa"/>
            <w:vMerge w:val="restart"/>
          </w:tcPr>
          <w:p w:rsidR="003D6D1B" w:rsidRDefault="003D6D1B" w:rsidP="003D6D1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3D6D1B" w:rsidRPr="003D6D1B" w:rsidRDefault="003D6D1B" w:rsidP="003D6D1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измер</w:t>
            </w:r>
            <w:proofErr w:type="spellEnd"/>
          </w:p>
        </w:tc>
        <w:tc>
          <w:tcPr>
            <w:tcW w:w="4974" w:type="dxa"/>
            <w:gridSpan w:val="7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Годы реализации</w:t>
            </w:r>
          </w:p>
        </w:tc>
      </w:tr>
      <w:tr w:rsidR="003D6D1B" w:rsidTr="003D6D1B">
        <w:trPr>
          <w:trHeight w:val="270"/>
        </w:trPr>
        <w:tc>
          <w:tcPr>
            <w:tcW w:w="595" w:type="dxa"/>
            <w:vMerge/>
          </w:tcPr>
          <w:p w:rsid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8" w:type="dxa"/>
            <w:vMerge/>
          </w:tcPr>
          <w:p w:rsid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4" w:type="dxa"/>
            <w:vMerge/>
          </w:tcPr>
          <w:p w:rsidR="003D6D1B" w:rsidRDefault="003D6D1B" w:rsidP="003D6D1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5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696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834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695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696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696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662" w:type="dxa"/>
          </w:tcPr>
          <w:p w:rsidR="003D6D1B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</w:tr>
      <w:tr w:rsidR="00C860DF" w:rsidTr="003D6D1B">
        <w:tc>
          <w:tcPr>
            <w:tcW w:w="595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88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вакантных должностей  муниципальной службы, замещаемых на основе  назначения из кадрового резерв</w:t>
            </w:r>
            <w:proofErr w:type="gramStart"/>
            <w:r>
              <w:rPr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sz w:val="28"/>
                <w:szCs w:val="28"/>
                <w:lang w:val="ru-RU"/>
              </w:rPr>
              <w:t>не менее)</w:t>
            </w:r>
          </w:p>
        </w:tc>
        <w:tc>
          <w:tcPr>
            <w:tcW w:w="914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95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5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6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6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62" w:type="dxa"/>
          </w:tcPr>
          <w:p w:rsidR="002E79BE" w:rsidRPr="003D6D1B" w:rsidRDefault="003D6D1B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C860DF" w:rsidTr="003D6D1B">
        <w:tc>
          <w:tcPr>
            <w:tcW w:w="5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88" w:type="dxa"/>
          </w:tcPr>
          <w:p w:rsidR="00C860DF" w:rsidRDefault="00C860DF" w:rsidP="00C860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вакантных должностей муниципальной службы, замещаемых на основе конкурса, увеличится на 30 процентов; </w:t>
            </w:r>
          </w:p>
          <w:p w:rsidR="002E79BE" w:rsidRPr="00C860DF" w:rsidRDefault="002E79BE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62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C860DF" w:rsidTr="003D6D1B">
        <w:tc>
          <w:tcPr>
            <w:tcW w:w="5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3088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 муниципальных служащих направленных на профессиональную переподготовку</w:t>
            </w:r>
          </w:p>
        </w:tc>
        <w:tc>
          <w:tcPr>
            <w:tcW w:w="91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2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860DF" w:rsidTr="003D6D1B">
        <w:tc>
          <w:tcPr>
            <w:tcW w:w="5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</w:t>
            </w:r>
          </w:p>
        </w:tc>
        <w:tc>
          <w:tcPr>
            <w:tcW w:w="3088" w:type="dxa"/>
          </w:tcPr>
          <w:p w:rsidR="002E79BE" w:rsidRDefault="00C860DF" w:rsidP="00C860D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Число муниципальных служащих прошедших курсы повышения квалификации</w:t>
            </w:r>
          </w:p>
        </w:tc>
        <w:tc>
          <w:tcPr>
            <w:tcW w:w="91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34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5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6" w:type="dxa"/>
          </w:tcPr>
          <w:p w:rsidR="002E79BE" w:rsidRPr="00C860DF" w:rsidRDefault="00C860DF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2" w:type="dxa"/>
          </w:tcPr>
          <w:p w:rsidR="002E79BE" w:rsidRPr="00C860DF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860DF" w:rsidTr="003D6D1B">
        <w:tc>
          <w:tcPr>
            <w:tcW w:w="595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88" w:type="dxa"/>
          </w:tcPr>
          <w:p w:rsidR="002E79BE" w:rsidRDefault="004526BC" w:rsidP="00635CD7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доляспециалистов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возрастедо</w:t>
            </w:r>
            <w:proofErr w:type="spellEnd"/>
            <w:r>
              <w:rPr>
                <w:sz w:val="28"/>
              </w:rPr>
              <w:t xml:space="preserve"> 35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имеющихстажмуниципальнойслужбыболее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914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95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6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34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5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6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96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62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C860DF" w:rsidTr="003D6D1B">
        <w:tc>
          <w:tcPr>
            <w:tcW w:w="595" w:type="dxa"/>
          </w:tcPr>
          <w:p w:rsidR="002E79BE" w:rsidRPr="004526BC" w:rsidRDefault="004526BC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88" w:type="dxa"/>
          </w:tcPr>
          <w:p w:rsidR="002E79BE" w:rsidRPr="004C09E4" w:rsidRDefault="004C09E4" w:rsidP="004C09E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</w:rPr>
              <w:t>индексдоверияграждан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муниципальнымслужащим</w:t>
            </w:r>
            <w:proofErr w:type="spellEnd"/>
          </w:p>
        </w:tc>
        <w:tc>
          <w:tcPr>
            <w:tcW w:w="914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95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6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34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95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6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96" w:type="dxa"/>
          </w:tcPr>
          <w:p w:rsidR="002E79BE" w:rsidRPr="004C09E4" w:rsidRDefault="004C09E4" w:rsidP="004C09E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62" w:type="dxa"/>
          </w:tcPr>
          <w:p w:rsidR="002E79BE" w:rsidRPr="004C09E4" w:rsidRDefault="004C09E4" w:rsidP="00635C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635CD7" w:rsidRPr="00635CD7" w:rsidRDefault="00635CD7" w:rsidP="00635CD7">
      <w:pPr>
        <w:pStyle w:val="TableContents"/>
        <w:jc w:val="center"/>
        <w:rPr>
          <w:sz w:val="28"/>
          <w:szCs w:val="28"/>
        </w:rPr>
      </w:pPr>
      <w:r w:rsidRPr="00635CD7">
        <w:rPr>
          <w:sz w:val="28"/>
          <w:szCs w:val="28"/>
        </w:rPr>
        <w:t> </w:t>
      </w:r>
    </w:p>
    <w:p w:rsidR="00635CD7" w:rsidRPr="00635CD7" w:rsidRDefault="00635CD7" w:rsidP="00635CD7">
      <w:pPr>
        <w:pStyle w:val="TableContents"/>
        <w:spacing w:after="283"/>
        <w:rPr>
          <w:sz w:val="28"/>
          <w:szCs w:val="28"/>
        </w:rPr>
      </w:pPr>
    </w:p>
    <w:sectPr w:rsidR="00635CD7" w:rsidRPr="00635CD7" w:rsidSect="00162A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18"/>
    <w:rsid w:val="00005C68"/>
    <w:rsid w:val="000661D2"/>
    <w:rsid w:val="00162AF9"/>
    <w:rsid w:val="0025667E"/>
    <w:rsid w:val="00287D18"/>
    <w:rsid w:val="002E79BE"/>
    <w:rsid w:val="003C4E5A"/>
    <w:rsid w:val="003D6D1B"/>
    <w:rsid w:val="004526BC"/>
    <w:rsid w:val="0048564F"/>
    <w:rsid w:val="004A2BA7"/>
    <w:rsid w:val="004C09E4"/>
    <w:rsid w:val="00624456"/>
    <w:rsid w:val="00635CD7"/>
    <w:rsid w:val="0087044F"/>
    <w:rsid w:val="00BA4ACE"/>
    <w:rsid w:val="00C860DF"/>
    <w:rsid w:val="00EC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6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635CD7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2E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6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635CD7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2E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11</cp:revision>
  <cp:lastPrinted>2014-03-19T05:26:00Z</cp:lastPrinted>
  <dcterms:created xsi:type="dcterms:W3CDTF">2014-03-18T11:25:00Z</dcterms:created>
  <dcterms:modified xsi:type="dcterms:W3CDTF">2014-03-20T06:37:00Z</dcterms:modified>
</cp:coreProperties>
</file>