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4B" w:rsidRPr="00B1598D" w:rsidRDefault="00E1744B" w:rsidP="0038074F">
      <w:pPr>
        <w:tabs>
          <w:tab w:val="left" w:pos="388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59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ПОДПРОГРАММЫ</w:t>
      </w:r>
    </w:p>
    <w:p w:rsidR="00E1744B" w:rsidRPr="00E1744B" w:rsidRDefault="00E1744B" w:rsidP="00E1744B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КОМПЛЕКСНОГО РАЗВИТИЯ СИСТЕМ КОММУНАЛЬНОЙ ИНФРАСТРУКТУРЫ </w:t>
      </w:r>
    </w:p>
    <w:p w:rsidR="00E1744B" w:rsidRPr="00E1744B" w:rsidRDefault="00E1744B" w:rsidP="00E1744B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1744B" w:rsidRPr="00E1744B" w:rsidRDefault="00E1744B" w:rsidP="00E1744B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4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="0073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ПОСЕЛЕНИЕ» </w:t>
      </w:r>
    </w:p>
    <w:p w:rsidR="00E1744B" w:rsidRPr="00E1744B" w:rsidRDefault="00E1744B" w:rsidP="0038074F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44B" w:rsidRPr="00E1744B" w:rsidRDefault="00E1744B" w:rsidP="00E1744B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1744B" w:rsidRPr="00E1744B" w:rsidRDefault="00E1744B" w:rsidP="00E1744B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44B" w:rsidRPr="00E1744B" w:rsidRDefault="00E1744B" w:rsidP="00E1744B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E1744B" w:rsidRPr="00E1744B" w:rsidRDefault="00E1744B" w:rsidP="0038074F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цели и основные направления </w:t>
      </w:r>
      <w:r w:rsidR="008C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территории </w:t>
      </w:r>
      <w:r w:rsidR="00F24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Мероприятия программы направлены на решение актуальных проблем, сдерживающих стабильное развитие территории. </w:t>
      </w:r>
    </w:p>
    <w:p w:rsidR="00E1744B" w:rsidRPr="00E1744B" w:rsidRDefault="0038074F" w:rsidP="0038074F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744B"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подпрограммы. Для решения данных вопросов в рамках настоящей программы необходимы реализация подпрограмм:</w:t>
      </w:r>
    </w:p>
    <w:p w:rsidR="00E1744B" w:rsidRPr="00E1744B" w:rsidRDefault="00E1744B" w:rsidP="00E17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44B" w:rsidRPr="00E1744B" w:rsidRDefault="00E1744B" w:rsidP="0038074F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«Энергосбережение и повышение энергетической эффективности на территории муницип</w:t>
      </w:r>
      <w:r w:rsidR="008C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образования «</w:t>
      </w:r>
      <w:r w:rsidR="00F24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="0073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ельское поселение» на 2012- </w:t>
      </w:r>
      <w:r w:rsidR="00E8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2029</w:t>
      </w: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  <w:r w:rsidRPr="00E174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(далее – подпрограмма)</w:t>
      </w:r>
    </w:p>
    <w:p w:rsidR="00E1744B" w:rsidRPr="00E1744B" w:rsidRDefault="00E1744B" w:rsidP="00E17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8" w:type="dxa"/>
        <w:tblInd w:w="921" w:type="dxa"/>
        <w:tblLayout w:type="fixed"/>
        <w:tblLook w:val="01E0" w:firstRow="1" w:lastRow="1" w:firstColumn="1" w:lastColumn="1" w:noHBand="0" w:noVBand="0"/>
      </w:tblPr>
      <w:tblGrid>
        <w:gridCol w:w="2470"/>
        <w:gridCol w:w="6978"/>
      </w:tblGrid>
      <w:tr w:rsidR="00E1744B" w:rsidRPr="00E1744B" w:rsidTr="005E5C8F">
        <w:trPr>
          <w:trHeight w:val="1723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38074F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подпрограммы</w:t>
            </w:r>
          </w:p>
        </w:tc>
        <w:tc>
          <w:tcPr>
            <w:tcW w:w="69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autoSpaceDE w:val="0"/>
              <w:autoSpaceDN w:val="0"/>
              <w:adjustRightInd w:val="0"/>
              <w:spacing w:after="0" w:line="228" w:lineRule="auto"/>
              <w:ind w:left="5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E1744B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снижение расходов бюджетов муниципальных образований на оплату энергетических ресурсов, потребляемых организациями муниципальной бюджетной сферы; снижение потерь энергоресурсов; улучшение экологической ситуации; надежность функционирования систем  жизнеобеспечения</w:t>
            </w:r>
          </w:p>
          <w:p w:rsidR="00E1744B" w:rsidRPr="00E1744B" w:rsidRDefault="00E1744B" w:rsidP="00E17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44B" w:rsidRPr="00E1744B" w:rsidTr="005E5C8F">
        <w:trPr>
          <w:trHeight w:val="3968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38074F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подпрограммы</w:t>
            </w:r>
          </w:p>
          <w:p w:rsidR="00E1744B" w:rsidRPr="00E1744B" w:rsidRDefault="00E1744B" w:rsidP="00E1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E1744B" w:rsidRPr="00E1744B" w:rsidRDefault="00E1744B" w:rsidP="00E17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удельных показателей потребления электрической энергии;</w:t>
            </w:r>
          </w:p>
          <w:p w:rsidR="00E1744B" w:rsidRPr="00E1744B" w:rsidRDefault="00E1744B" w:rsidP="00E1744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выбросов вредных веществ, за счёт сокращения объёмов потребления энергоресурсов;</w:t>
            </w:r>
          </w:p>
          <w:p w:rsidR="00E1744B" w:rsidRPr="00E1744B" w:rsidRDefault="00E1744B" w:rsidP="00E1744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активная пропаганда </w:t>
            </w:r>
            <w:proofErr w:type="spellStart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ресурсосбережения среди населения и других групп потребителей;</w:t>
            </w:r>
          </w:p>
          <w:p w:rsidR="00E1744B" w:rsidRPr="00E1744B" w:rsidRDefault="00E1744B" w:rsidP="00E1744B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энергоаудита</w:t>
            </w:r>
            <w:proofErr w:type="spellEnd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энергетических обследований, ведение энергетических паспортов;</w:t>
            </w:r>
          </w:p>
        </w:tc>
      </w:tr>
      <w:tr w:rsidR="00E1744B" w:rsidRPr="00E1744B" w:rsidTr="005E5C8F">
        <w:trPr>
          <w:trHeight w:val="983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38074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  <w:p w:rsidR="00E1744B" w:rsidRPr="00E1744B" w:rsidRDefault="00E1744B" w:rsidP="00E1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autoSpaceDE w:val="0"/>
              <w:autoSpaceDN w:val="0"/>
              <w:adjustRightInd w:val="0"/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E1744B" w:rsidRPr="00E1744B" w:rsidRDefault="00F10E9A" w:rsidP="00E1744B">
            <w:pPr>
              <w:autoSpaceDE w:val="0"/>
              <w:autoSpaceDN w:val="0"/>
              <w:adjustRightInd w:val="0"/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2012-</w:t>
            </w:r>
            <w:r w:rsidR="00E817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2029</w:t>
            </w:r>
            <w:r w:rsidR="00E1744B" w:rsidRPr="00E1744B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годы</w:t>
            </w:r>
          </w:p>
        </w:tc>
      </w:tr>
      <w:tr w:rsidR="00E1744B" w:rsidRPr="00E1744B" w:rsidTr="005E5C8F">
        <w:trPr>
          <w:trHeight w:val="983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38074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 подпрограммы, перечень основных направлений и мероприятий</w:t>
            </w:r>
          </w:p>
        </w:tc>
        <w:tc>
          <w:tcPr>
            <w:tcW w:w="69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Структура подпрограммы: </w:t>
            </w:r>
          </w:p>
          <w:p w:rsidR="00E1744B" w:rsidRPr="00E1744B" w:rsidRDefault="00E1744B" w:rsidP="00E1744B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44B" w:rsidRPr="00E1744B" w:rsidRDefault="00E1744B" w:rsidP="00E1744B">
            <w:pPr>
              <w:numPr>
                <w:ilvl w:val="0"/>
                <w:numId w:val="3"/>
              </w:numPr>
              <w:tabs>
                <w:tab w:val="num" w:pos="650"/>
              </w:tabs>
              <w:spacing w:after="0" w:line="240" w:lineRule="auto"/>
              <w:ind w:left="650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проблемы и обоснование необходимости ее решения программными методами</w:t>
            </w:r>
          </w:p>
          <w:p w:rsidR="00E1744B" w:rsidRPr="00E1744B" w:rsidRDefault="00E1744B" w:rsidP="00E1744B">
            <w:pPr>
              <w:numPr>
                <w:ilvl w:val="0"/>
                <w:numId w:val="3"/>
              </w:numPr>
              <w:tabs>
                <w:tab w:val="num" w:pos="650"/>
              </w:tabs>
              <w:spacing w:after="0" w:line="240" w:lineRule="auto"/>
              <w:ind w:left="650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и задачи, сроки и этапы реализации подпрограммы, целевые индикаторы и показатели</w:t>
            </w:r>
          </w:p>
          <w:p w:rsidR="00E1744B" w:rsidRPr="00E1744B" w:rsidRDefault="00E1744B" w:rsidP="00E1744B">
            <w:pPr>
              <w:numPr>
                <w:ilvl w:val="0"/>
                <w:numId w:val="3"/>
              </w:numPr>
              <w:tabs>
                <w:tab w:val="num" w:pos="650"/>
              </w:tabs>
              <w:spacing w:after="0" w:line="240" w:lineRule="auto"/>
              <w:ind w:left="650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подпрограммных мероприятий и ресурсное обеспечение подпрограммы</w:t>
            </w:r>
          </w:p>
          <w:p w:rsidR="00E1744B" w:rsidRPr="00E1744B" w:rsidRDefault="00E1744B" w:rsidP="00E1744B">
            <w:pPr>
              <w:numPr>
                <w:ilvl w:val="0"/>
                <w:numId w:val="3"/>
              </w:numPr>
              <w:tabs>
                <w:tab w:val="num" w:pos="650"/>
              </w:tabs>
              <w:spacing w:after="0" w:line="240" w:lineRule="auto"/>
              <w:ind w:left="650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обеспечение подпрограммы</w:t>
            </w:r>
          </w:p>
          <w:p w:rsidR="00E1744B" w:rsidRPr="00E1744B" w:rsidRDefault="00E1744B" w:rsidP="00E1744B">
            <w:pPr>
              <w:numPr>
                <w:ilvl w:val="0"/>
                <w:numId w:val="3"/>
              </w:numPr>
              <w:tabs>
                <w:tab w:val="num" w:pos="650"/>
              </w:tabs>
              <w:spacing w:after="0" w:line="240" w:lineRule="auto"/>
              <w:ind w:left="650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реализации подпрограммы и контроль за ходом ее реализации</w:t>
            </w:r>
          </w:p>
          <w:p w:rsidR="00E1744B" w:rsidRPr="00E1744B" w:rsidRDefault="00E1744B" w:rsidP="00E1744B">
            <w:pPr>
              <w:numPr>
                <w:ilvl w:val="0"/>
                <w:numId w:val="3"/>
              </w:numPr>
              <w:tabs>
                <w:tab w:val="num" w:pos="650"/>
              </w:tabs>
              <w:spacing w:after="0" w:line="240" w:lineRule="auto"/>
              <w:ind w:left="650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реализации подпрограммы</w:t>
            </w:r>
          </w:p>
          <w:p w:rsidR="00E1744B" w:rsidRPr="00E1744B" w:rsidRDefault="00E1744B" w:rsidP="00E1744B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подпрограммы:</w:t>
            </w:r>
          </w:p>
          <w:p w:rsidR="00E1744B" w:rsidRPr="00E1744B" w:rsidRDefault="00E1744B" w:rsidP="00E1744B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1744B" w:rsidRPr="00E1744B" w:rsidTr="005E5C8F">
        <w:trPr>
          <w:trHeight w:val="616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69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8C122A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F244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Александровского</w:t>
            </w:r>
            <w:r w:rsidR="008C12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сельского поселения, учреждения и организации бюджетной сферы.</w:t>
            </w:r>
          </w:p>
        </w:tc>
      </w:tr>
      <w:tr w:rsidR="00E1744B" w:rsidRPr="00E1744B" w:rsidTr="005E5C8F">
        <w:trPr>
          <w:trHeight w:val="733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9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8C122A">
            <w:pPr>
              <w:spacing w:after="0" w:line="228" w:lineRule="auto"/>
              <w:ind w:left="2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подпрограммы осуществляется в</w:t>
            </w: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объеме </w:t>
            </w:r>
            <w:r w:rsidR="00F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  <w:r w:rsidRPr="008F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 за счет средств местного бюджета </w:t>
            </w:r>
            <w:r w:rsidR="00F24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Александровского</w:t>
            </w: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E1744B" w:rsidRPr="00E1744B" w:rsidRDefault="00E1744B" w:rsidP="00E1744B">
            <w:pPr>
              <w:spacing w:after="0" w:line="228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44B" w:rsidRPr="00E1744B" w:rsidTr="005E5C8F">
        <w:trPr>
          <w:trHeight w:val="81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9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наличие в органах местного самоуправления, муниципальных учреждениях актов энергетических обследований и энергетических паспортов;</w:t>
            </w:r>
          </w:p>
          <w:p w:rsidR="00E1744B" w:rsidRPr="00E1744B" w:rsidRDefault="00E1744B" w:rsidP="00E1744B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экономия энергоресурсов за период реализации подпрограммы;</w:t>
            </w:r>
          </w:p>
          <w:p w:rsidR="00E1744B" w:rsidRPr="00E1744B" w:rsidRDefault="00E1744B" w:rsidP="00E1744B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снижение затрат местного бюджета </w:t>
            </w: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 оплату коммунальных ресурсов;</w:t>
            </w:r>
          </w:p>
          <w:p w:rsidR="00E1744B" w:rsidRPr="00E1744B" w:rsidRDefault="00E1744B" w:rsidP="00E1744B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E1744B" w:rsidRPr="00E1744B" w:rsidRDefault="00E1744B" w:rsidP="00E1744B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переход на приборный учет при расчетах населения</w:t>
            </w:r>
          </w:p>
          <w:p w:rsidR="00E1744B" w:rsidRPr="00E1744B" w:rsidRDefault="00E1744B" w:rsidP="00E1744B">
            <w:pPr>
              <w:spacing w:after="0" w:line="228" w:lineRule="auto"/>
              <w:ind w:left="36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1744B" w:rsidRPr="00E1744B" w:rsidTr="005E5C8F">
        <w:trPr>
          <w:trHeight w:val="983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  <w:p w:rsidR="00E1744B" w:rsidRPr="00E1744B" w:rsidRDefault="00E1744B" w:rsidP="00E1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44B" w:rsidRPr="00E1744B" w:rsidRDefault="00E1744B" w:rsidP="00E1744B">
            <w:pPr>
              <w:spacing w:after="0" w:line="228" w:lineRule="auto"/>
              <w:ind w:left="23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контроль за ходом реализации подпрограммы осуществляет </w:t>
            </w: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первой категории муниципального хозяйства</w:t>
            </w:r>
          </w:p>
        </w:tc>
      </w:tr>
    </w:tbl>
    <w:p w:rsidR="00E1744B" w:rsidRDefault="00E1744B" w:rsidP="00E1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1836" w:rsidRDefault="00731836" w:rsidP="00380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32A1" w:rsidRPr="00E1744B" w:rsidRDefault="005F32A1" w:rsidP="00380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E1744B" w:rsidRPr="00E1744B" w:rsidRDefault="00E1744B" w:rsidP="00E1744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 проблемы</w:t>
      </w:r>
    </w:p>
    <w:p w:rsidR="00E1744B" w:rsidRPr="00E1744B" w:rsidRDefault="00E1744B" w:rsidP="0038074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стратегия Российской Федерации на период до 2020 года предусматривает, что 80 процентов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политики энергосбережения на территории </w:t>
      </w:r>
      <w:r w:rsidR="00F24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8C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C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Азовского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E1744B" w:rsidRPr="00E1744B" w:rsidRDefault="00E1744B" w:rsidP="009555C7">
      <w:pPr>
        <w:spacing w:after="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E1744B" w:rsidRPr="00E1744B" w:rsidRDefault="00E1744B" w:rsidP="009555C7">
      <w:pPr>
        <w:spacing w:after="0"/>
        <w:ind w:left="56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 инструментом управления энергосбережением </w:t>
      </w: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является программно-целевой метод, предусматривающий разработку, принятие и исполнение муниципальных целевых программ и подпрограмм энергосбережения. В предстоящий период на территории муниципального образования должны быть выполнены установленные Федеральным законом от 23.11.2009 №261-ФЗ требования в части управления процессом энергосбережения, в том числе:</w:t>
      </w:r>
    </w:p>
    <w:p w:rsidR="00E1744B" w:rsidRPr="00E1744B" w:rsidRDefault="00E1744B" w:rsidP="009555C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    проведение энергетических обследований;</w:t>
      </w:r>
    </w:p>
    <w:p w:rsidR="00E1744B" w:rsidRPr="00E1744B" w:rsidRDefault="00E1744B" w:rsidP="009555C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    приборный учет энергетических ресурсов;</w:t>
      </w:r>
    </w:p>
    <w:p w:rsidR="00E1744B" w:rsidRPr="00E1744B" w:rsidRDefault="00E1744B" w:rsidP="009555C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    ведение энергетических паспортов;</w:t>
      </w:r>
    </w:p>
    <w:p w:rsidR="00E1744B" w:rsidRPr="00E1744B" w:rsidRDefault="00E1744B" w:rsidP="009555C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преимуществами решения проблемы энергосбережения программно-целевым методом являются:</w:t>
      </w:r>
    </w:p>
    <w:p w:rsidR="00E1744B" w:rsidRPr="00E1744B" w:rsidRDefault="00E1744B" w:rsidP="009555C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/>
        <w:ind w:lef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комплексный подход к решению задачи энергосбережения и координация действий по ее решению;</w:t>
      </w:r>
    </w:p>
    <w:p w:rsidR="00E1744B" w:rsidRPr="00E1744B" w:rsidRDefault="00E1744B" w:rsidP="009555C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/>
        <w:ind w:lef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и ответственности исполнителей мероприятий подпрограммы;</w:t>
      </w:r>
    </w:p>
    <w:p w:rsidR="00E1744B" w:rsidRPr="00E1744B" w:rsidRDefault="00E1744B" w:rsidP="009555C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/>
        <w:ind w:lef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и мониторинг результатов реализации подпрограммы;</w:t>
      </w:r>
    </w:p>
    <w:p w:rsidR="00E1744B" w:rsidRPr="00E1744B" w:rsidRDefault="00E1744B" w:rsidP="009555C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/>
        <w:ind w:lef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финансирование комплекса энергосберегающих мероприятий.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реализации подпрограммы темпы роста доли затрат на приобретение энергии значител</w:t>
      </w:r>
      <w:r w:rsidR="008C122A">
        <w:rPr>
          <w:rFonts w:ascii="Times New Roman" w:eastAsia="Times New Roman" w:hAnsi="Times New Roman" w:cs="Times New Roman"/>
          <w:sz w:val="28"/>
          <w:szCs w:val="24"/>
          <w:lang w:eastAsia="ru-RU"/>
        </w:rPr>
        <w:t>ьно замедлятся и составят к 2015</w:t>
      </w: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не менее 15 процентов к указанному уровню.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риски, связанные с реализацией подпрограммы, определяются следующими факторами: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ограниченностью источников финансирования подпрограммных мероприятий и неразвитостью механизмов привлечения средств на финансирование энергосберегающих мероприятий; 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неопределенностью конъюнктуры и неразвитостью институтов рынка энергосбережения; 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</w:t>
      </w:r>
      <w:r w:rsidR="008C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мического развития  территории </w:t>
      </w:r>
      <w:r w:rsidR="00F24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8C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Азовского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Цели подпрограммы</w:t>
      </w: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подпрограммы является снижение расходов местного бюджета на оплату энергетических ресурсов, потребленных организациями муниципальной бюджетной сферы, жилищным фондом.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целями подпрограммы являются снижение потерь тепловой и электрической энергии, воды и улучшение экологической ситуации.</w:t>
      </w: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Задачи подпрограммы</w:t>
      </w: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поставленных целей в ходе реализации подпрограммы необходимо решить следующие задачи: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Проведение комплекса организационно-правовых мероприятий по управлению энергосбережением. 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Расширение практики применения энергосберегающих технологий. 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</w:t>
      </w:r>
      <w:proofErr w:type="spellEnd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энергосбережению,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Проведение </w:t>
      </w:r>
      <w:proofErr w:type="spell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энергоаудита</w:t>
      </w:r>
      <w:proofErr w:type="spellEnd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энергетических обследований, ведение энергетических паспортов.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данной задачи необходимо организовать работу по: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проведению энергетических обследований, составлению энергетических паспортов в </w:t>
      </w: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учреждениях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ресурсов. 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Обеспечение учета всего объема потребляемых энергетических ресурсов.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муниципальные учреждения, предприятия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Нормирование и установление обоснованных лимитов потребления энергетических ресурсов.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подпрограмма не </w:t>
      </w: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дублирует цели и задачи других утвержденных и действующих муниципальных целевых программ.</w:t>
      </w:r>
    </w:p>
    <w:p w:rsid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</w:t>
      </w:r>
      <w:r w:rsidR="008C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проблемы: создать к 2019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EE5F6C" w:rsidRPr="00E1744B" w:rsidRDefault="00EE5F6C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Сроки реализации подпрограммы</w:t>
      </w: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744B" w:rsidRPr="00E1744B" w:rsidRDefault="008C122A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Подпрограмма рассчитана на 2012-</w:t>
      </w:r>
      <w:r w:rsidR="00E81773">
        <w:rPr>
          <w:rFonts w:ascii="Times New Roman" w:eastAsia="Times New Roman" w:hAnsi="Times New Roman" w:cs="Times New Roman"/>
          <w:sz w:val="28"/>
          <w:szCs w:val="24"/>
          <w:lang w:eastAsia="ru-RU"/>
        </w:rPr>
        <w:t>2029</w:t>
      </w:r>
      <w:r w:rsidR="00E1744B"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Механизм реализации и порядок 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контроля за ходом реализации подпрограммы 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Основание для финансирования программных мероприятий: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заключенный заказчиком на основе конкурсов (котировок) договор  на выполнение поставок оборудования и (или) подрядных работ;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Объемы финансирования мероприятий подпрограммы из местного бюджета подлежат уточнению при формировании бюджета на соответствующий финансовый год.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энергосберегающих мероприятий за счет средств местного бюджета осуществляется в соответствии с решением законодательного органа местного самоуправления</w:t>
      </w:r>
      <w:r w:rsidR="005E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на соответствующий финансовый год.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Периодичность рассмотрения вопросов о выполнении подпрограммных мероприятий в муниципальных учреждениях – один раз в квартал.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работы за отчетный квартал на рассмотрение рабочей группы по реализации государственной политики в сфере энергосбережения и повышения энергетической эффективности на территории </w:t>
      </w:r>
      <w:r w:rsidR="00F24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8C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главными распорядителями бюджета направляется отчет установленной формы, содержащий информацию о реализации программных мероприятий с пояснительной запиской о ходе реализации программных мероприятий и эффективности использования финансовых средств. </w:t>
      </w:r>
      <w:proofErr w:type="gramEnd"/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должна содержать: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результатах реализации подпрограммных мероприятий за отчетный год;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соответствии фактических показателей реализации подпрограммы утвержденным показателям;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ходе и полноте выполнения подпрограммных мероприятий;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наличии, объемах и состоянии незавершенных мероприятий;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внедрении и эффективности инновационных проектов в сфере энергосбережения;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эффективности результатов реализации подпрограммы;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по реализации государственной политики в сфере энергосбережения и повышения энергетической эффективности на территории </w:t>
      </w:r>
      <w:r w:rsidR="00F24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8C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ежеквартально на своих заседаниях рассматривает вопрос о состоянии энергосбережения в отраслях социальной сферы и экономики муниципального образования и координирует деятельность муниципальных заказчиков, участвующих в подпрограмме;</w:t>
      </w:r>
    </w:p>
    <w:p w:rsidR="00E1744B" w:rsidRPr="00E1744B" w:rsidRDefault="00E1744B" w:rsidP="009555C7">
      <w:pPr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мониторинг хода реализации подпрограммы, в том числе сбор и анализ статистической и иной информации об эффективности использования энергетических ресурсов;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заключения о результатах работы по энергосбережению в отраслях социальной сферы, экономики и жилищном фонде;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выполнение в установленные сроки подпрограммных мероприятий;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член рабочей группы планирует подпрограммные мероприятия по своей отрасли на очередной финансовый год, готовит предложения по корректировке подпрограммы и в установленном порядке представляет их в финансовый орган муниципального образования для утверждения бюджета;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иные функции по управлению подпрограммными мероприятиями в соответствии с действующим законодательством и подпрограммой.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представляет в соответствующие органы исполнительной власти области отчеты о ходе реализации подпрограммы за отчетный период.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ежегодно, до 01 марта текущего года уточняет с участниками подпрограммы перечень и сроки выполнения подпрограммных мероприятий, объемы и источники финансирования на следующий год и представляет в установленном порядке эти сведения в соответствующий орган исполнительной власти.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выполнения подпрограммных мероприятий производится по указанным в паспорте подпрограммы показателям, позволяющим оценить ход ее реализации.</w:t>
      </w: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744B" w:rsidRPr="00E1744B" w:rsidRDefault="00E1744B" w:rsidP="009555C7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Оценка  эффективности реализации подпрограммы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1744B">
        <w:rPr>
          <w:rFonts w:ascii="Times New Roman" w:eastAsia="Times New Roman" w:hAnsi="Times New Roman" w:cs="Arial"/>
          <w:sz w:val="28"/>
          <w:szCs w:val="20"/>
          <w:lang w:eastAsia="ru-RU"/>
        </w:rPr>
        <w:t>В ходе реализации подпрограммы планируется достичь следующие результаты:</w:t>
      </w:r>
    </w:p>
    <w:p w:rsidR="00E1744B" w:rsidRPr="00E1744B" w:rsidRDefault="00E1744B" w:rsidP="009555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в муниципальных учреждениях, муниципальных предприятиях энергетических паспортов; актов энергетических обследований;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сокращения удельных показателей энергоемкости и энергопотребления предприятий и организаций на территории муниципального</w:t>
      </w:r>
      <w:r w:rsidR="008C12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по сравнению с 2011</w:t>
      </w: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годом  (базовый год); 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подпрограммных мероприятий даст дополнительные эффекты в виде: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 и сокращение бюджетных затрат на оплату коммунальных ресурсов;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условий для развития рынка товаров и услуг в сфере энергосбережения;</w:t>
      </w:r>
    </w:p>
    <w:p w:rsidR="00E1744B" w:rsidRPr="00E1744B" w:rsidRDefault="00E1744B" w:rsidP="009555C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внедрения в строительстве современных </w:t>
      </w:r>
      <w:proofErr w:type="spellStart"/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энергоэффективных</w:t>
      </w:r>
      <w:proofErr w:type="spellEnd"/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решений на стадии проектирования; применения </w:t>
      </w:r>
      <w:proofErr w:type="spellStart"/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энергоэффективных</w:t>
      </w:r>
      <w:proofErr w:type="spellEnd"/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строительных материалов, технологий и конструкций;</w:t>
      </w:r>
    </w:p>
    <w:p w:rsidR="00E1744B" w:rsidRPr="00E1744B" w:rsidRDefault="00E1744B" w:rsidP="009555C7">
      <w:pPr>
        <w:spacing w:after="0"/>
        <w:ind w:left="709" w:firstLine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E1744B" w:rsidRPr="00E1744B" w:rsidRDefault="00E1744B" w:rsidP="00E17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744B" w:rsidRPr="00E1744B" w:rsidRDefault="00E1744B" w:rsidP="00E17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1744B" w:rsidRPr="00E1744B" w:rsidSect="005F32A1">
      <w:headerReference w:type="default" r:id="rId8"/>
      <w:footerReference w:type="default" r:id="rId9"/>
      <w:pgSz w:w="11906" w:h="16838"/>
      <w:pgMar w:top="567" w:right="566" w:bottom="1560" w:left="567" w:header="709" w:footer="265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16" w:rsidRDefault="00651E16" w:rsidP="0038074F">
      <w:pPr>
        <w:spacing w:after="0" w:line="240" w:lineRule="auto"/>
      </w:pPr>
      <w:r>
        <w:separator/>
      </w:r>
    </w:p>
  </w:endnote>
  <w:endnote w:type="continuationSeparator" w:id="0">
    <w:p w:rsidR="00651E16" w:rsidRDefault="00651E16" w:rsidP="0038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08446"/>
      <w:docPartObj>
        <w:docPartGallery w:val="Page Numbers (Bottom of Page)"/>
        <w:docPartUnique/>
      </w:docPartObj>
    </w:sdtPr>
    <w:sdtEndPr/>
    <w:sdtContent>
      <w:p w:rsidR="005E5C8F" w:rsidRDefault="005E5C8F">
        <w:pPr>
          <w:pStyle w:val="ae"/>
          <w:jc w:val="right"/>
        </w:pPr>
      </w:p>
      <w:p w:rsidR="005E5C8F" w:rsidRDefault="005E5C8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A1">
          <w:rPr>
            <w:noProof/>
          </w:rPr>
          <w:t>72</w:t>
        </w:r>
        <w:r>
          <w:fldChar w:fldCharType="end"/>
        </w:r>
      </w:p>
    </w:sdtContent>
  </w:sdt>
  <w:p w:rsidR="005E5C8F" w:rsidRDefault="005E5C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16" w:rsidRDefault="00651E16" w:rsidP="0038074F">
      <w:pPr>
        <w:spacing w:after="0" w:line="240" w:lineRule="auto"/>
      </w:pPr>
      <w:r>
        <w:separator/>
      </w:r>
    </w:p>
  </w:footnote>
  <w:footnote w:type="continuationSeparator" w:id="0">
    <w:p w:rsidR="00651E16" w:rsidRDefault="00651E16" w:rsidP="0038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9D" w:rsidRDefault="005A369D">
    <w:pPr>
      <w:pStyle w:val="ac"/>
      <w:jc w:val="right"/>
      <w:rPr>
        <w:color w:val="4F81BD" w:themeColor="accent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2DBC7B9F" wp14:editId="32DF5316">
              <wp:simplePos x="0" y="0"/>
              <wp:positionH relativeFrom="column">
                <wp:posOffset>166370</wp:posOffset>
              </wp:positionH>
              <wp:positionV relativeFrom="paragraph">
                <wp:posOffset>-256540</wp:posOffset>
              </wp:positionV>
              <wp:extent cx="6762115" cy="10219690"/>
              <wp:effectExtent l="0" t="0" r="19685" b="2921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10219690"/>
                        <a:chOff x="338" y="-1530"/>
                        <a:chExt cx="10508" cy="18001"/>
                      </a:xfrm>
                    </wpg:grpSpPr>
                    <wpg:grpSp>
                      <wpg:cNvPr id="2" name="Group 28"/>
                      <wpg:cNvGrpSpPr>
                        <a:grpSpLocks/>
                      </wpg:cNvGrpSpPr>
                      <wpg:grpSpPr bwMode="auto">
                        <a:xfrm>
                          <a:off x="338" y="-1530"/>
                          <a:ext cx="10508" cy="18001"/>
                          <a:chOff x="1012" y="390"/>
                          <a:chExt cx="10618" cy="16045"/>
                        </a:xfrm>
                      </wpg:grpSpPr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12" y="390"/>
                            <a:ext cx="10618" cy="16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0"/>
                        <wps:cNvCnPr/>
                        <wps:spPr bwMode="auto">
                          <a:xfrm>
                            <a:off x="11036" y="15581"/>
                            <a:ext cx="1" cy="8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31"/>
                        <wps:cNvCnPr/>
                        <wps:spPr bwMode="auto">
                          <a:xfrm>
                            <a:off x="1591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32"/>
                        <wps:cNvCnPr/>
                        <wps:spPr bwMode="auto">
                          <a:xfrm>
                            <a:off x="1015" y="15580"/>
                            <a:ext cx="1060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33"/>
                        <wps:cNvCnPr/>
                        <wps:spPr bwMode="auto">
                          <a:xfrm>
                            <a:off x="2170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/>
                        <wps:spPr bwMode="auto">
                          <a:xfrm>
                            <a:off x="3333" y="15589"/>
                            <a:ext cx="0" cy="8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35"/>
                        <wps:cNvCnPr/>
                        <wps:spPr bwMode="auto">
                          <a:xfrm flipH="1">
                            <a:off x="4215" y="15595"/>
                            <a:ext cx="0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36"/>
                        <wps:cNvCnPr/>
                        <wps:spPr bwMode="auto">
                          <a:xfrm>
                            <a:off x="4811" y="15587"/>
                            <a:ext cx="1" cy="8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37"/>
                        <wps:cNvCnPr/>
                        <wps:spPr bwMode="auto">
                          <a:xfrm>
                            <a:off x="1015" y="15863"/>
                            <a:ext cx="37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38"/>
                        <wps:cNvCnPr/>
                        <wps:spPr bwMode="auto">
                          <a:xfrm flipV="1">
                            <a:off x="1015" y="16144"/>
                            <a:ext cx="3808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/>
                        <wps:spPr bwMode="auto">
                          <a:xfrm flipV="1">
                            <a:off x="11037" y="15972"/>
                            <a:ext cx="58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82" y="16131"/>
                            <a:ext cx="5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369D" w:rsidRPr="0036152E" w:rsidRDefault="005A369D" w:rsidP="005A369D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749" y="16133"/>
                            <a:ext cx="58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369D" w:rsidRDefault="005A369D" w:rsidP="005A369D">
                              <w:pPr>
                                <w:ind w:right="-20"/>
                                <w:jc w:val="center"/>
                              </w:pPr>
                              <w:r w:rsidRPr="0036152E">
                                <w:rPr>
                                  <w:position w:val="10"/>
                                </w:rPr>
                                <w:t>№док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108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66" y="16130"/>
                            <a:ext cx="81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369D" w:rsidRPr="0036152E" w:rsidRDefault="005A369D" w:rsidP="005A369D">
                              <w:pPr>
                                <w:ind w:left="-42" w:right="-75"/>
                                <w:jc w:val="center"/>
                              </w:pPr>
                              <w:proofErr w:type="spellStart"/>
                              <w:r w:rsidRPr="0036152E">
                                <w:rPr>
                                  <w:position w:val="10"/>
                                </w:rPr>
                                <w:t>Подпис</w:t>
                              </w:r>
                              <w:r>
                                <w:rPr>
                                  <w:position w:val="10"/>
                                </w:rPr>
                                <w:t>ь</w:t>
                              </w:r>
                              <w:r w:rsidRPr="0036152E">
                                <w:rPr>
                                  <w:position w:val="10"/>
                                </w:rPr>
                                <w:t>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34" y="16129"/>
                            <a:ext cx="53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369D" w:rsidRPr="0036152E" w:rsidRDefault="005A369D" w:rsidP="005A369D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Line 44"/>
                        <wps:cNvCnPr/>
                        <wps:spPr bwMode="auto">
                          <a:xfrm flipH="1">
                            <a:off x="2746" y="15569"/>
                            <a:ext cx="1" cy="8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16" y="16130"/>
                            <a:ext cx="53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369D" w:rsidRPr="0036152E" w:rsidRDefault="005A369D" w:rsidP="005A369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38" y="16134"/>
                            <a:ext cx="53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369D" w:rsidRPr="0036152E" w:rsidRDefault="005A369D" w:rsidP="005A369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Кол.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1" name="Rectangle 47"/>
                      <wps:cNvSpPr>
                        <a:spLocks noChangeArrowheads="1"/>
                      </wps:cNvSpPr>
                      <wps:spPr bwMode="auto">
                        <a:xfrm>
                          <a:off x="10233" y="15585"/>
                          <a:ext cx="494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369D" w:rsidRDefault="005A369D" w:rsidP="005A369D">
                            <w:pPr>
                              <w:ind w:right="-166"/>
                              <w:jc w:val="center"/>
                            </w:pPr>
                            <w:r>
                              <w:rPr>
                                <w:position w:val="10"/>
                              </w:rPr>
                              <w:t>Лист</w:t>
                            </w:r>
                            <w:r>
                              <w:rPr>
                                <w:rFonts w:ascii="Arial Narrow" w:hAnsi="Arial Narrow"/>
                                <w:position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48"/>
                      <wps:cNvSpPr>
                        <a:spLocks noChangeArrowheads="1"/>
                      </wps:cNvSpPr>
                      <wps:spPr bwMode="auto">
                        <a:xfrm>
                          <a:off x="10268" y="16022"/>
                          <a:ext cx="432" cy="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369D" w:rsidRDefault="005A369D" w:rsidP="005A369D">
                            <w:pPr>
                              <w:pStyle w:val="ae"/>
                            </w:pPr>
                            <w:r>
                              <w:t xml:space="preserve"> </w:t>
                            </w:r>
                          </w:p>
                          <w:p w:rsidR="005A369D" w:rsidRDefault="005A369D" w:rsidP="005A369D">
                            <w:pPr>
                              <w:jc w:val="center"/>
                            </w:pPr>
                          </w:p>
                          <w:p w:rsidR="005A369D" w:rsidRDefault="005A369D" w:rsidP="005A369D">
                            <w:pPr>
                              <w:jc w:val="center"/>
                            </w:pPr>
                          </w:p>
                          <w:p w:rsidR="005A369D" w:rsidRPr="00D72C4F" w:rsidRDefault="005A369D" w:rsidP="005A36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49"/>
                      <wps:cNvSpPr>
                        <a:spLocks noChangeArrowheads="1"/>
                      </wps:cNvSpPr>
                      <wps:spPr bwMode="auto">
                        <a:xfrm>
                          <a:off x="4107" y="15563"/>
                          <a:ext cx="5943" cy="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369D" w:rsidRPr="00A876C1" w:rsidRDefault="005A369D" w:rsidP="005A369D">
                            <w:pPr>
                              <w:jc w:val="center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Программа комплексного развития сис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>тем коммунальной инфраструктуры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муниципального образования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«</w:t>
                            </w:r>
                            <w:r w:rsidR="00F244BF">
                              <w:rPr>
                                <w:spacing w:val="20"/>
                                <w:sz w:val="16"/>
                                <w:szCs w:val="16"/>
                              </w:rPr>
                              <w:t>Александровское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сельское поселение»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на 2012-2015 годы и на период до </w:t>
                            </w:r>
                            <w:r w:rsidR="00E81773">
                              <w:rPr>
                                <w:spacing w:val="20"/>
                                <w:sz w:val="16"/>
                                <w:szCs w:val="16"/>
                              </w:rPr>
                              <w:t>2029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12700" tIns="360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left:0;text-align:left;margin-left:13.1pt;margin-top:-20.2pt;width:532.45pt;height:804.7pt;z-index:-251656192" coordorigin="338,-1530" coordsize="10508,1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">
              <v:group id="Group 28" o:spid="_x0000_s1027" style="position:absolute;left:338;top:-1530;width:10508;height:18001" coordorigin="1012,390" coordsize="10618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29" o:spid="_x0000_s1028" style="position:absolute;left:1012;top:390;width:10618;height:1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<v:line id="Line 30" o:spid="_x0000_s1029" style="position:absolute;visibility:visible;mso-wrap-style:square" from="11036,15581" to="1103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31" o:spid="_x0000_s1030" style="position:absolute;visibility:visible;mso-wrap-style:square" from="1591,15587" to="1592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32" o:spid="_x0000_s1031" style="position:absolute;visibility:visible;mso-wrap-style:square" from="1015,15580" to="11617,1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33" o:spid="_x0000_s1032" style="position:absolute;visibility:visible;mso-wrap-style:square" from="2170,15587" to="2171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34" o:spid="_x0000_s1033" style="position:absolute;visibility:visible;mso-wrap-style:square" from="3333,15589" to="3333,1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35" o:spid="_x0000_s1034" style="position:absolute;flip:x;visibility:visible;mso-wrap-style:square" from="4215,15595" to="4215,1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  <v:line id="Line 36" o:spid="_x0000_s1035" style="position:absolute;visibility:visible;mso-wrap-style:square" from="4811,15587" to="4812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37" o:spid="_x0000_s1036" style="position:absolute;visibility:visible;mso-wrap-style:square" from="1015,15863" to="4807,15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38" o:spid="_x0000_s1037" style="position:absolute;flip:y;visibility:visible;mso-wrap-style:square" from="1015,16144" to="4823,1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<v:line id="Line 39" o:spid="_x0000_s1038" style="position:absolute;flip:y;visibility:visible;mso-wrap-style:square" from="11037,15972" to="11624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<v:rect id="Rectangle 40" o:spid="_x0000_s1039" style="position:absolute;left:2182;top:16131;width:53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5A369D" w:rsidRPr="0036152E" w:rsidRDefault="005A369D" w:rsidP="005A369D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Лист</w:t>
                        </w:r>
                      </w:p>
                    </w:txbxContent>
                  </v:textbox>
                </v:rect>
                <v:rect id="Rectangle 41" o:spid="_x0000_s1040" style="position:absolute;left:2749;top:16133;width:58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QBcEA&#10;AADbAAAADwAAAGRycy9kb3ducmV2LnhtbESPQYvCMBCF7wv+hzCCtzVV0NVqFBHFRfZiFbwOzdiW&#10;NpPSxFr//UYQvM3w3vvmzXLdmUq01LjCsoLRMAJBnFpdcKbgct5/z0A4j6yxskwKnuRgvep9LTHW&#10;9sEnahOfiQBhF6OC3Ps6ltKlORl0Q1sTB+1mG4M+rE0mdYOPADeVHEfRVBosOFzIsaZtTmmZ3E2g&#10;0DGZe1uWt1YejtRd3fhn96fUoN9tFiA8df5jfqd/dag/gdcvY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EAXBAAAA2wAAAA8AAAAAAAAAAAAAAAAAmAIAAGRycy9kb3du&#10;cmV2LnhtbFBLBQYAAAAABAAEAPUAAACGAwAAAAA=&#10;" filled="f" stroked="f" strokeweight=".25pt">
                  <v:textbox inset=".3mm,1pt,1pt,1pt">
                    <w:txbxContent>
                      <w:p w:rsidR="005A369D" w:rsidRDefault="005A369D" w:rsidP="005A369D">
                        <w:pPr>
                          <w:ind w:right="-20"/>
                          <w:jc w:val="center"/>
                        </w:pPr>
                        <w:r w:rsidRPr="0036152E">
                          <w:rPr>
                            <w:position w:val="10"/>
                          </w:rPr>
                          <w:t>№док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rect id="Rectangle 42" o:spid="_x0000_s1041" style="position:absolute;left:3366;top:16130;width:81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5A369D" w:rsidRPr="0036152E" w:rsidRDefault="005A369D" w:rsidP="005A369D">
                        <w:pPr>
                          <w:ind w:left="-42" w:right="-75"/>
                          <w:jc w:val="center"/>
                        </w:pPr>
                        <w:proofErr w:type="spellStart"/>
                        <w:r w:rsidRPr="0036152E">
                          <w:rPr>
                            <w:position w:val="10"/>
                          </w:rPr>
                          <w:t>Подпис</w:t>
                        </w:r>
                        <w:r>
                          <w:rPr>
                            <w:position w:val="10"/>
                          </w:rPr>
                          <w:t>ь</w:t>
                        </w:r>
                        <w:r w:rsidRPr="0036152E">
                          <w:rPr>
                            <w:position w:val="10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  <v:rect id="Rectangle 43" o:spid="_x0000_s1042" style="position:absolute;left:4234;top:16129;width:53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5A369D" w:rsidRPr="0036152E" w:rsidRDefault="005A369D" w:rsidP="005A369D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Дата</w:t>
                        </w:r>
                      </w:p>
                    </w:txbxContent>
                  </v:textbox>
                </v:rect>
                <v:line id="Line 44" o:spid="_x0000_s1043" style="position:absolute;flip:x;visibility:visible;mso-wrap-style:square" from="2746,15569" to="274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<v:rect id="Rectangle 45" o:spid="_x0000_s1044" style="position:absolute;left:1616;top:16130;width:53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5A369D" w:rsidRPr="0036152E" w:rsidRDefault="005A369D" w:rsidP="005A369D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Изм.</w:t>
                        </w:r>
                      </w:p>
                    </w:txbxContent>
                  </v:textbox>
                </v:rect>
                <v:rect id="Rectangle 46" o:spid="_x0000_s1045" style="position:absolute;left:1038;top:16134;width:53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5A369D" w:rsidRPr="0036152E" w:rsidRDefault="005A369D" w:rsidP="005A369D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Кол.</w:t>
                        </w:r>
                      </w:p>
                    </w:txbxContent>
                  </v:textbox>
                </v:rect>
              </v:group>
              <v:rect id="Rectangle 47" o:spid="_x0000_s1046" style="position:absolute;left:10233;top:15585;width:49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<v:textbox inset="1pt,1pt,1pt,1pt">
                  <w:txbxContent>
                    <w:p w:rsidR="005A369D" w:rsidRDefault="005A369D" w:rsidP="005A369D">
                      <w:pPr>
                        <w:ind w:right="-166"/>
                        <w:jc w:val="center"/>
                      </w:pPr>
                      <w:r>
                        <w:rPr>
                          <w:position w:val="10"/>
                        </w:rPr>
                        <w:t>Лист</w:t>
                      </w:r>
                      <w:r>
                        <w:rPr>
                          <w:rFonts w:ascii="Arial Narrow" w:hAnsi="Arial Narrow"/>
                          <w:position w:val="10"/>
                        </w:rPr>
                        <w:t>.</w:t>
                      </w:r>
                    </w:p>
                  </w:txbxContent>
                </v:textbox>
              </v:rect>
              <v:rect id="Rectangle 48" o:spid="_x0000_s1047" style="position:absolute;left:10268;top:16022;width:432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zd8YA&#10;AADbAAAADwAAAGRycy9kb3ducmV2LnhtbESPQWvCQBSE7wX/w/KEXkQ3Biyauoq0lEpFwbT0/Mg+&#10;s9Hs2zS71fjv3YLQ4zAz3zDzZWdrcabWV44VjEcJCOLC6YpLBV+fb8MpCB+QNdaOScGVPCwXvYc5&#10;ZtpdeE/nPJQiQthnqMCE0GRS+sKQRT9yDXH0Dq61GKJsS6lbvES4rWWaJE/SYsVxwWBDL4aKU/5r&#10;FXznp1m5fd9MZh+T18Fm/XM0491Rqcd+t3oGEagL/+F7e60VpCn8fY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0zd8YAAADbAAAADwAAAAAAAAAAAAAAAACYAgAAZHJz&#10;L2Rvd25yZXYueG1sUEsFBgAAAAAEAAQA9QAAAIsDAAAAAA==&#10;" filled="f" stroked="f" strokeweight=".25pt">
                <v:textbox inset="0,0,0,0">
                  <w:txbxContent>
                    <w:p w:rsidR="005A369D" w:rsidRDefault="005A369D" w:rsidP="005A369D">
                      <w:pPr>
                        <w:pStyle w:val="ae"/>
                      </w:pPr>
                      <w:r>
                        <w:t xml:space="preserve"> </w:t>
                      </w:r>
                    </w:p>
                    <w:p w:rsidR="005A369D" w:rsidRDefault="005A369D" w:rsidP="005A369D">
                      <w:pPr>
                        <w:jc w:val="center"/>
                      </w:pPr>
                    </w:p>
                    <w:p w:rsidR="005A369D" w:rsidRDefault="005A369D" w:rsidP="005A369D">
                      <w:pPr>
                        <w:jc w:val="center"/>
                      </w:pPr>
                    </w:p>
                    <w:p w:rsidR="005A369D" w:rsidRPr="00D72C4F" w:rsidRDefault="005A369D" w:rsidP="005A369D">
                      <w:pPr>
                        <w:jc w:val="center"/>
                      </w:pPr>
                    </w:p>
                  </w:txbxContent>
                </v:textbox>
              </v:rect>
              <v:rect id="Rectangle 49" o:spid="_x0000_s1048" style="position:absolute;left:4107;top:15563;width:594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fKsEA&#10;AADbAAAADwAAAGRycy9kb3ducmV2LnhtbESPT4vCMBTE74LfITxhb5oaoUjXKCIsu9f1Hx4fzdum&#10;2LyUJtX67TeC4HGYmd8wq83gGnGjLtSeNcxnGQji0puaKw3Hw9d0CSJEZIONZ9LwoACb9Xi0wsL4&#10;O//SbR8rkSAcCtRgY2wLKUNpyWGY+ZY4eX++cxiT7CppOrwnuGukyrJcOqw5LVhsaWepvO57p6Hv&#10;L1e1eOQxa8uTneff55MipfXHZNh+gog0xHf41f4xGtQCnl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THyrBAAAA2wAAAA8AAAAAAAAAAAAAAAAAmAIAAGRycy9kb3du&#10;cmV2LnhtbFBLBQYAAAAABAAEAPUAAACGAwAAAAA=&#10;" filled="f" stroked="f" strokeweight=".25pt">
                <v:textbox inset="1pt,1mm,1pt,1pt">
                  <w:txbxContent>
                    <w:p w:rsidR="005A369D" w:rsidRPr="00A876C1" w:rsidRDefault="005A369D" w:rsidP="005A369D">
                      <w:pPr>
                        <w:jc w:val="center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Программа комплексного развития сис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>тем коммунальной инфраструктуры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муниципального образования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«</w:t>
                      </w:r>
                      <w:r w:rsidR="00F244BF">
                        <w:rPr>
                          <w:spacing w:val="20"/>
                          <w:sz w:val="16"/>
                          <w:szCs w:val="16"/>
                        </w:rPr>
                        <w:t>Александровское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сельское поселение»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на 2012-2015 годы и на период до </w:t>
                      </w:r>
                      <w:r w:rsidR="00E81773">
                        <w:rPr>
                          <w:spacing w:val="20"/>
                          <w:sz w:val="16"/>
                          <w:szCs w:val="16"/>
                        </w:rPr>
                        <w:t>2029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года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:rsidR="005A369D" w:rsidRDefault="005A369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0E"/>
    <w:multiLevelType w:val="hybridMultilevel"/>
    <w:tmpl w:val="9EEC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5A9A"/>
    <w:multiLevelType w:val="hybridMultilevel"/>
    <w:tmpl w:val="395C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6C2A"/>
    <w:multiLevelType w:val="hybridMultilevel"/>
    <w:tmpl w:val="AB2E7126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0B4E5D8F"/>
    <w:multiLevelType w:val="hybridMultilevel"/>
    <w:tmpl w:val="0310BF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ED52FED"/>
    <w:multiLevelType w:val="hybridMultilevel"/>
    <w:tmpl w:val="C6C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B2BCC"/>
    <w:multiLevelType w:val="hybridMultilevel"/>
    <w:tmpl w:val="CEFAD95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206E5675"/>
    <w:multiLevelType w:val="hybridMultilevel"/>
    <w:tmpl w:val="04C43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80337A"/>
    <w:multiLevelType w:val="hybridMultilevel"/>
    <w:tmpl w:val="978C7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33CA9"/>
    <w:multiLevelType w:val="hybridMultilevel"/>
    <w:tmpl w:val="AE16F8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BC3A7B"/>
    <w:multiLevelType w:val="hybridMultilevel"/>
    <w:tmpl w:val="23AE1958"/>
    <w:lvl w:ilvl="0" w:tplc="C408F5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8B07DC8"/>
    <w:multiLevelType w:val="hybridMultilevel"/>
    <w:tmpl w:val="B7B0942A"/>
    <w:lvl w:ilvl="0" w:tplc="972E44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53D86"/>
    <w:multiLevelType w:val="hybridMultilevel"/>
    <w:tmpl w:val="D9089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720809"/>
    <w:multiLevelType w:val="hybridMultilevel"/>
    <w:tmpl w:val="EA1A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366AC"/>
    <w:multiLevelType w:val="multilevel"/>
    <w:tmpl w:val="4F06235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1" w:hanging="2160"/>
      </w:pPr>
      <w:rPr>
        <w:rFonts w:hint="default"/>
      </w:rPr>
    </w:lvl>
  </w:abstractNum>
  <w:abstractNum w:abstractNumId="16">
    <w:nsid w:val="4C3B3854"/>
    <w:multiLevelType w:val="hybridMultilevel"/>
    <w:tmpl w:val="80F0D6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E91648B"/>
    <w:multiLevelType w:val="hybridMultilevel"/>
    <w:tmpl w:val="D6F4F5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4464875"/>
    <w:multiLevelType w:val="hybridMultilevel"/>
    <w:tmpl w:val="E2E4DC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A10733B"/>
    <w:multiLevelType w:val="hybridMultilevel"/>
    <w:tmpl w:val="F85A5D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DF164C"/>
    <w:multiLevelType w:val="hybridMultilevel"/>
    <w:tmpl w:val="95567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5EAB1A47"/>
    <w:multiLevelType w:val="multilevel"/>
    <w:tmpl w:val="A5B6E8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22">
    <w:nsid w:val="63C127A6"/>
    <w:multiLevelType w:val="multilevel"/>
    <w:tmpl w:val="595204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6237DF7"/>
    <w:multiLevelType w:val="hybridMultilevel"/>
    <w:tmpl w:val="9FC4CB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7E6135E5"/>
    <w:multiLevelType w:val="hybridMultilevel"/>
    <w:tmpl w:val="FB8CF162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7"/>
  </w:num>
  <w:num w:numId="8">
    <w:abstractNumId w:val="0"/>
  </w:num>
  <w:num w:numId="9">
    <w:abstractNumId w:val="18"/>
  </w:num>
  <w:num w:numId="10">
    <w:abstractNumId w:val="1"/>
  </w:num>
  <w:num w:numId="11">
    <w:abstractNumId w:val="13"/>
  </w:num>
  <w:num w:numId="12">
    <w:abstractNumId w:val="19"/>
  </w:num>
  <w:num w:numId="13">
    <w:abstractNumId w:val="11"/>
  </w:num>
  <w:num w:numId="14">
    <w:abstractNumId w:val="22"/>
  </w:num>
  <w:num w:numId="15">
    <w:abstractNumId w:val="21"/>
  </w:num>
  <w:num w:numId="16">
    <w:abstractNumId w:val="20"/>
  </w:num>
  <w:num w:numId="17">
    <w:abstractNumId w:val="4"/>
  </w:num>
  <w:num w:numId="18">
    <w:abstractNumId w:val="8"/>
  </w:num>
  <w:num w:numId="19">
    <w:abstractNumId w:val="16"/>
  </w:num>
  <w:num w:numId="20">
    <w:abstractNumId w:val="10"/>
  </w:num>
  <w:num w:numId="21">
    <w:abstractNumId w:val="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5"/>
  </w:num>
  <w:num w:numId="25">
    <w:abstractNumId w:val="2"/>
  </w:num>
  <w:num w:numId="26">
    <w:abstractNumId w:val="7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A5"/>
    <w:rsid w:val="00100C17"/>
    <w:rsid w:val="002739FA"/>
    <w:rsid w:val="0038074F"/>
    <w:rsid w:val="004042AB"/>
    <w:rsid w:val="00540141"/>
    <w:rsid w:val="005A369D"/>
    <w:rsid w:val="005E5C8F"/>
    <w:rsid w:val="005F32A1"/>
    <w:rsid w:val="00651E16"/>
    <w:rsid w:val="006F6B1F"/>
    <w:rsid w:val="00731836"/>
    <w:rsid w:val="00746DE4"/>
    <w:rsid w:val="007D3599"/>
    <w:rsid w:val="00817C6A"/>
    <w:rsid w:val="008C122A"/>
    <w:rsid w:val="008F3444"/>
    <w:rsid w:val="009555C7"/>
    <w:rsid w:val="00976AA5"/>
    <w:rsid w:val="00A53A08"/>
    <w:rsid w:val="00B06877"/>
    <w:rsid w:val="00B1514E"/>
    <w:rsid w:val="00B1598D"/>
    <w:rsid w:val="00B8515D"/>
    <w:rsid w:val="00BB43EB"/>
    <w:rsid w:val="00C420CC"/>
    <w:rsid w:val="00DD1527"/>
    <w:rsid w:val="00E1744B"/>
    <w:rsid w:val="00E6191C"/>
    <w:rsid w:val="00E748F3"/>
    <w:rsid w:val="00E81773"/>
    <w:rsid w:val="00EE5F6C"/>
    <w:rsid w:val="00F10E9A"/>
    <w:rsid w:val="00F2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E"/>
  </w:style>
  <w:style w:type="paragraph" w:styleId="5">
    <w:name w:val="heading 5"/>
    <w:basedOn w:val="a"/>
    <w:next w:val="a"/>
    <w:link w:val="50"/>
    <w:qFormat/>
    <w:rsid w:val="00E1744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4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744B"/>
  </w:style>
  <w:style w:type="character" w:customStyle="1" w:styleId="a3">
    <w:name w:val="Название Знак"/>
    <w:link w:val="a4"/>
    <w:locked/>
    <w:rsid w:val="00E1744B"/>
    <w:rPr>
      <w:b/>
      <w:sz w:val="36"/>
    </w:rPr>
  </w:style>
  <w:style w:type="paragraph" w:styleId="a4">
    <w:name w:val="Title"/>
    <w:basedOn w:val="a"/>
    <w:link w:val="a3"/>
    <w:qFormat/>
    <w:rsid w:val="00E1744B"/>
    <w:pPr>
      <w:tabs>
        <w:tab w:val="left" w:pos="8080"/>
      </w:tabs>
      <w:spacing w:after="0" w:line="240" w:lineRule="auto"/>
      <w:jc w:val="center"/>
    </w:pPr>
    <w:rPr>
      <w:b/>
      <w:sz w:val="36"/>
    </w:rPr>
  </w:style>
  <w:style w:type="character" w:customStyle="1" w:styleId="10">
    <w:name w:val="Название Знак1"/>
    <w:basedOn w:val="a0"/>
    <w:uiPriority w:val="10"/>
    <w:rsid w:val="00E1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17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E174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E174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"/>
    <w:basedOn w:val="a"/>
    <w:rsid w:val="00E174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17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E174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1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nhideWhenUsed/>
    <w:rsid w:val="00E1744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17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1744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E17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link w:val="BodyText210"/>
    <w:uiPriority w:val="99"/>
    <w:rsid w:val="00E174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10">
    <w:name w:val="Body Text 2.Основной текст 1 Знак"/>
    <w:link w:val="BodyText21"/>
    <w:uiPriority w:val="99"/>
    <w:locked/>
    <w:rsid w:val="00E174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E174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1744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E17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17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17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1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17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1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E174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1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1744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174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E1744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E174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List"/>
    <w:basedOn w:val="a"/>
    <w:rsid w:val="00E1744B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E"/>
  </w:style>
  <w:style w:type="paragraph" w:styleId="5">
    <w:name w:val="heading 5"/>
    <w:basedOn w:val="a"/>
    <w:next w:val="a"/>
    <w:link w:val="50"/>
    <w:qFormat/>
    <w:rsid w:val="00E1744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4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744B"/>
  </w:style>
  <w:style w:type="character" w:customStyle="1" w:styleId="a3">
    <w:name w:val="Название Знак"/>
    <w:link w:val="a4"/>
    <w:locked/>
    <w:rsid w:val="00E1744B"/>
    <w:rPr>
      <w:b/>
      <w:sz w:val="36"/>
    </w:rPr>
  </w:style>
  <w:style w:type="paragraph" w:styleId="a4">
    <w:name w:val="Title"/>
    <w:basedOn w:val="a"/>
    <w:link w:val="a3"/>
    <w:qFormat/>
    <w:rsid w:val="00E1744B"/>
    <w:pPr>
      <w:tabs>
        <w:tab w:val="left" w:pos="8080"/>
      </w:tabs>
      <w:spacing w:after="0" w:line="240" w:lineRule="auto"/>
      <w:jc w:val="center"/>
    </w:pPr>
    <w:rPr>
      <w:b/>
      <w:sz w:val="36"/>
    </w:rPr>
  </w:style>
  <w:style w:type="character" w:customStyle="1" w:styleId="10">
    <w:name w:val="Название Знак1"/>
    <w:basedOn w:val="a0"/>
    <w:uiPriority w:val="10"/>
    <w:rsid w:val="00E1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17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E174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E174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"/>
    <w:basedOn w:val="a"/>
    <w:rsid w:val="00E174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17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E174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1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nhideWhenUsed/>
    <w:rsid w:val="00E1744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17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1744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E17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link w:val="BodyText210"/>
    <w:uiPriority w:val="99"/>
    <w:rsid w:val="00E174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10">
    <w:name w:val="Body Text 2.Основной текст 1 Знак"/>
    <w:link w:val="BodyText21"/>
    <w:uiPriority w:val="99"/>
    <w:locked/>
    <w:rsid w:val="00E174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E174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1744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E17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17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17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1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17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1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E174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1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1744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174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E1744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E174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List"/>
    <w:basedOn w:val="a"/>
    <w:rsid w:val="00E1744B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12</cp:revision>
  <cp:lastPrinted>2012-10-19T04:49:00Z</cp:lastPrinted>
  <dcterms:created xsi:type="dcterms:W3CDTF">2012-09-16T21:13:00Z</dcterms:created>
  <dcterms:modified xsi:type="dcterms:W3CDTF">2012-12-16T21:35:00Z</dcterms:modified>
</cp:coreProperties>
</file>